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jc w:val="left"/>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Do Now: </w:t>
      </w:r>
      <w:r w:rsidDel="00000000" w:rsidR="00000000" w:rsidRPr="00000000">
        <w:rPr>
          <w:rFonts w:ascii="Cambria" w:cs="Cambria" w:eastAsia="Cambria" w:hAnsi="Cambria"/>
          <w:sz w:val="28"/>
          <w:szCs w:val="28"/>
          <w:rtl w:val="0"/>
        </w:rPr>
        <w:t xml:space="preserve">Big picture, what does the case of Uruguay vs. PMI tell us about the nature of national sovereignty in the 21st century? What conclusions or inferences can you come to about this question? Put some thoughts down. </w:t>
      </w:r>
    </w:p>
    <w:p w:rsidR="00000000" w:rsidDel="00000000" w:rsidP="00000000" w:rsidRDefault="00000000" w:rsidRPr="00000000" w14:paraId="00000002">
      <w:pPr>
        <w:spacing w:line="276" w:lineRule="auto"/>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3">
      <w:pPr>
        <w:spacing w:line="276" w:lineRule="auto"/>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your response you can/should connect to other concepts.</w:t>
      </w:r>
    </w:p>
    <w:p w:rsidR="00000000" w:rsidDel="00000000" w:rsidP="00000000" w:rsidRDefault="00000000" w:rsidRPr="00000000" w14:paraId="00000004">
      <w:pPr>
        <w:spacing w:line="276" w:lineRule="auto"/>
        <w:jc w:val="left"/>
        <w:rPr>
          <w:rFonts w:ascii="Cambria" w:cs="Cambria" w:eastAsia="Cambria" w:hAnsi="Cambria"/>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The 21st century world is very interdependent, this </w:t>
            </w:r>
            <w:r w:rsidDel="00000000" w:rsidR="00000000" w:rsidRPr="00000000">
              <w:rPr>
                <w:rFonts w:ascii="Cambria" w:cs="Cambria" w:eastAsia="Cambria" w:hAnsi="Cambria"/>
                <w:b w:val="1"/>
                <w:sz w:val="28"/>
                <w:szCs w:val="28"/>
                <w:rtl w:val="0"/>
              </w:rPr>
              <w:t xml:space="preserve">interdependence</w:t>
            </w:r>
            <w:r w:rsidDel="00000000" w:rsidR="00000000" w:rsidRPr="00000000">
              <w:rPr>
                <w:rFonts w:ascii="Cambria" w:cs="Cambria" w:eastAsia="Cambria" w:hAnsi="Cambria"/>
                <w:sz w:val="28"/>
                <w:szCs w:val="28"/>
                <w:rtl w:val="0"/>
              </w:rPr>
              <w:t xml:space="preserve"> leads to higher standards of living, more trade, more development. BUT this interdependence comes at a cost. Countries must give up some </w:t>
            </w:r>
            <w:r w:rsidDel="00000000" w:rsidR="00000000" w:rsidRPr="00000000">
              <w:rPr>
                <w:rFonts w:ascii="Cambria" w:cs="Cambria" w:eastAsia="Cambria" w:hAnsi="Cambria"/>
                <w:b w:val="1"/>
                <w:sz w:val="28"/>
                <w:szCs w:val="28"/>
                <w:rtl w:val="0"/>
              </w:rPr>
              <w:t xml:space="preserve">sovereignty</w:t>
            </w:r>
            <w:r w:rsidDel="00000000" w:rsidR="00000000" w:rsidRPr="00000000">
              <w:rPr>
                <w:rFonts w:ascii="Cambria" w:cs="Cambria" w:eastAsia="Cambria" w:hAnsi="Cambria"/>
                <w:sz w:val="28"/>
                <w:szCs w:val="28"/>
                <w:rtl w:val="0"/>
              </w:rPr>
              <w:t xml:space="preserve"> in order to be part of the global community. Countries have to join groups like the ICSID to become </w:t>
            </w:r>
            <w:r w:rsidDel="00000000" w:rsidR="00000000" w:rsidRPr="00000000">
              <w:rPr>
                <w:rFonts w:ascii="Cambria" w:cs="Cambria" w:eastAsia="Cambria" w:hAnsi="Cambria"/>
                <w:b w:val="1"/>
                <w:sz w:val="28"/>
                <w:szCs w:val="28"/>
                <w:rtl w:val="0"/>
              </w:rPr>
              <w:t xml:space="preserve">legitimate</w:t>
            </w:r>
            <w:r w:rsidDel="00000000" w:rsidR="00000000" w:rsidRPr="00000000">
              <w:rPr>
                <w:rFonts w:ascii="Cambria" w:cs="Cambria" w:eastAsia="Cambria" w:hAnsi="Cambria"/>
                <w:sz w:val="28"/>
                <w:szCs w:val="28"/>
                <w:rtl w:val="0"/>
              </w:rPr>
              <w:t xml:space="preserve"> trustworthy trade partners.</w:t>
            </w:r>
          </w:p>
          <w:p w:rsidR="00000000" w:rsidDel="00000000" w:rsidP="00000000" w:rsidRDefault="00000000" w:rsidRPr="00000000" w14:paraId="00000006">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MNCs can challenge the </w:t>
            </w:r>
            <w:r w:rsidDel="00000000" w:rsidR="00000000" w:rsidRPr="00000000">
              <w:rPr>
                <w:rFonts w:ascii="Cambria" w:cs="Cambria" w:eastAsia="Cambria" w:hAnsi="Cambria"/>
                <w:b w:val="1"/>
                <w:sz w:val="28"/>
                <w:szCs w:val="28"/>
                <w:rtl w:val="0"/>
              </w:rPr>
              <w:t xml:space="preserve">sovereignty</w:t>
            </w:r>
            <w:r w:rsidDel="00000000" w:rsidR="00000000" w:rsidRPr="00000000">
              <w:rPr>
                <w:rFonts w:ascii="Cambria" w:cs="Cambria" w:eastAsia="Cambria" w:hAnsi="Cambria"/>
                <w:sz w:val="28"/>
                <w:szCs w:val="28"/>
                <w:rtl w:val="0"/>
              </w:rPr>
              <w:t xml:space="preserve"> of nation states in international courts. </w:t>
            </w:r>
          </w:p>
          <w:p w:rsidR="00000000" w:rsidDel="00000000" w:rsidP="00000000" w:rsidRDefault="00000000" w:rsidRPr="00000000" w14:paraId="00000007">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Countries give up some sovereignty to international courts to provide confidence to businesses and other countries to promote interdependence.</w:t>
            </w:r>
          </w:p>
          <w:p w:rsidR="00000000" w:rsidDel="00000000" w:rsidP="00000000" w:rsidRDefault="00000000" w:rsidRPr="00000000" w14:paraId="00000008">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Not all countries can defend their sovereignty equally well. Poorer countries may not be able to withstand the economic power of MNCs and be able to be bullied and undermined more than rich countries. </w:t>
            </w:r>
          </w:p>
          <w:p w:rsidR="00000000" w:rsidDel="00000000" w:rsidP="00000000" w:rsidRDefault="00000000" w:rsidRPr="00000000" w14:paraId="00000009">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The </w:t>
            </w:r>
            <w:r w:rsidDel="00000000" w:rsidR="00000000" w:rsidRPr="00000000">
              <w:rPr>
                <w:rFonts w:ascii="Cambria" w:cs="Cambria" w:eastAsia="Cambria" w:hAnsi="Cambria"/>
                <w:b w:val="1"/>
                <w:sz w:val="28"/>
                <w:szCs w:val="28"/>
                <w:rtl w:val="0"/>
              </w:rPr>
              <w:t xml:space="preserve">legitimacy</w:t>
            </w:r>
            <w:r w:rsidDel="00000000" w:rsidR="00000000" w:rsidRPr="00000000">
              <w:rPr>
                <w:rFonts w:ascii="Cambria" w:cs="Cambria" w:eastAsia="Cambria" w:hAnsi="Cambria"/>
                <w:sz w:val="28"/>
                <w:szCs w:val="28"/>
                <w:rtl w:val="0"/>
              </w:rPr>
              <w:t xml:space="preserve"> of nation states can undermined if their </w:t>
            </w:r>
            <w:r w:rsidDel="00000000" w:rsidR="00000000" w:rsidRPr="00000000">
              <w:rPr>
                <w:rFonts w:ascii="Cambria" w:cs="Cambria" w:eastAsia="Cambria" w:hAnsi="Cambria"/>
                <w:b w:val="1"/>
                <w:sz w:val="28"/>
                <w:szCs w:val="28"/>
                <w:rtl w:val="0"/>
              </w:rPr>
              <w:t xml:space="preserve">sovereignty</w:t>
            </w:r>
            <w:r w:rsidDel="00000000" w:rsidR="00000000" w:rsidRPr="00000000">
              <w:rPr>
                <w:rFonts w:ascii="Cambria" w:cs="Cambria" w:eastAsia="Cambria" w:hAnsi="Cambria"/>
                <w:sz w:val="28"/>
                <w:szCs w:val="28"/>
                <w:rtl w:val="0"/>
              </w:rPr>
              <w:t xml:space="preserve"> is undermined. People may not have faith in their governments if they can’t protect their people.</w:t>
            </w:r>
          </w:p>
          <w:p w:rsidR="00000000" w:rsidDel="00000000" w:rsidP="00000000" w:rsidRDefault="00000000" w:rsidRPr="00000000" w14:paraId="0000000A">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The power and nature and mobility of MNCs push the limits of the power nation states can exert on MNCs.</w:t>
            </w:r>
          </w:p>
          <w:p w:rsidR="00000000" w:rsidDel="00000000" w:rsidP="00000000" w:rsidRDefault="00000000" w:rsidRPr="00000000" w14:paraId="0000000B">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NGOs can also play an important role helping countries defend their sovereignty against challenges. At the same time, needing help from outside organizations can delegitimize a country’s government, expose its vulnerability or weaknesses.</w:t>
            </w:r>
          </w:p>
        </w:tc>
      </w:tr>
    </w:tbl>
    <w:p w:rsidR="00000000" w:rsidDel="00000000" w:rsidP="00000000" w:rsidRDefault="00000000" w:rsidRPr="00000000" w14:paraId="0000000C">
      <w:pPr>
        <w:spacing w:line="276" w:lineRule="auto"/>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D">
      <w:pPr>
        <w:spacing w:line="276" w:lineRule="auto"/>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Homework</w:t>
      </w:r>
    </w:p>
    <w:p w:rsidR="00000000" w:rsidDel="00000000" w:rsidP="00000000" w:rsidRDefault="00000000" w:rsidRPr="00000000" w14:paraId="0000000E">
      <w:pPr>
        <w:spacing w:line="276" w:lineRule="auto"/>
        <w:jc w:val="left"/>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F">
      <w:pPr>
        <w:spacing w:line="276" w:lineRule="auto"/>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Please read over this final summary of the case. Much of this you already know but now you should be able to understand it completely. </w:t>
      </w:r>
    </w:p>
    <w:p w:rsidR="00000000" w:rsidDel="00000000" w:rsidP="00000000" w:rsidRDefault="00000000" w:rsidRPr="00000000" w14:paraId="00000010">
      <w:pPr>
        <w:spacing w:line="276" w:lineRule="auto"/>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1">
      <w:pPr>
        <w:spacing w:line="276" w:lineRule="auto"/>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Finish adding information to your Uruguay vs PMI chart. Make sure each box is as complete as it can be. I will be grading it.</w:t>
      </w:r>
    </w:p>
    <w:p w:rsidR="00000000" w:rsidDel="00000000" w:rsidP="00000000" w:rsidRDefault="00000000" w:rsidRPr="00000000" w14:paraId="00000012">
      <w:pPr>
        <w:spacing w:line="276" w:lineRule="auto"/>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3">
      <w:pPr>
        <w:spacing w:line="276" w:lineRule="auto"/>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4">
      <w:pPr>
        <w:spacing w:line="276" w:lineRule="auto"/>
        <w:jc w:val="center"/>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Litigation Spotlight: Philip Morris v. Uruguay</w:t>
      </w:r>
    </w:p>
    <w:p w:rsidR="00000000" w:rsidDel="00000000" w:rsidP="00000000" w:rsidRDefault="00000000" w:rsidRPr="00000000" w14:paraId="00000015">
      <w:pPr>
        <w:spacing w:line="276"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6">
      <w:pPr>
        <w:spacing w:line="276" w:lineRule="auto"/>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Note</w:t>
      </w:r>
      <w:r w:rsidDel="00000000" w:rsidR="00000000" w:rsidRPr="00000000">
        <w:rPr>
          <w:rFonts w:ascii="Cambria" w:cs="Cambria" w:eastAsia="Cambria" w:hAnsi="Cambria"/>
          <w:sz w:val="28"/>
          <w:szCs w:val="28"/>
          <w:rtl w:val="0"/>
        </w:rPr>
        <w:t xml:space="preserve">: “litigation” simply means taking legal action or filing a lawsuit</w:t>
      </w:r>
    </w:p>
    <w:p w:rsidR="00000000" w:rsidDel="00000000" w:rsidP="00000000" w:rsidRDefault="00000000" w:rsidRPr="00000000" w14:paraId="00000017">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8">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February 2010 Philip Morris International initiated an international lawsuit challenging two of Uruguay’s tobacco control laws. The panel of 3 arbitrators published their ruling on July 8, 2016, dismissing all Philip Morris’ claims and awarding Uruguay its legal costs ($7 million).</w:t>
      </w:r>
    </w:p>
    <w:p w:rsidR="00000000" w:rsidDel="00000000" w:rsidP="00000000" w:rsidRDefault="00000000" w:rsidRPr="00000000" w14:paraId="00000019">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A">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outcome of this international investment arbitration has global significance. </w:t>
      </w:r>
    </w:p>
    <w:p w:rsidR="00000000" w:rsidDel="00000000" w:rsidP="00000000" w:rsidRDefault="00000000" w:rsidRPr="00000000" w14:paraId="0000001B">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C">
      <w:pPr>
        <w:spacing w:line="276"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The Claim</w:t>
      </w:r>
    </w:p>
    <w:p w:rsidR="00000000" w:rsidDel="00000000" w:rsidP="00000000" w:rsidRDefault="00000000" w:rsidRPr="00000000" w14:paraId="0000001D">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E">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February 2010, three subsidiary companies [smaller companies owned by the parent company] of Philip Morris International filed an international arbitration [arbitration is where an objective, private, third party hears a dispute] lawsuit against Uruguay, claiming that two of the country’s tobacco control laws violated a Bilateral Investment Treaty (BIT) between Uruguay and Switzerland. The case was heard at the International Centre for the Settlement of Investment Disputes (ICSID), an arbitration panel of the World Bank based in Washington. Prior to Philip Morris’ claim at ICSID, legal challenges brought by the company against the same tobacco control laws had already been dismissed by Uruguay’s Administrative Court and Supreme Court. [to sum up, PMI sued Uruguay in Uruguay’s courts, lost and then escalated to an international court].</w:t>
      </w:r>
    </w:p>
    <w:p w:rsidR="00000000" w:rsidDel="00000000" w:rsidP="00000000" w:rsidRDefault="00000000" w:rsidRPr="00000000" w14:paraId="0000001F">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0">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two laws challenged by Philip Morris required 80% graphic health warnings on cigarette packs, and limited tobacco brands to a single brand variant.</w:t>
      </w:r>
    </w:p>
    <w:p w:rsidR="00000000" w:rsidDel="00000000" w:rsidP="00000000" w:rsidRDefault="00000000" w:rsidRPr="00000000" w14:paraId="00000021">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2">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Philip Morris alleged that the 80% health warnings left insufficient room on the packs for it to use its trademarks and branding as they were intended; and that the Single Presentation Requirement (SPR) meant it could not market some of its brands such as Marlboro Gold. Philip </w:t>
      </w:r>
    </w:p>
    <w:p w:rsidR="00000000" w:rsidDel="00000000" w:rsidP="00000000" w:rsidRDefault="00000000" w:rsidRPr="00000000" w14:paraId="00000023">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4">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Morris therefore alleged that Uruguay had breached the terms of the BIT because:</w:t>
      </w:r>
    </w:p>
    <w:p w:rsidR="00000000" w:rsidDel="00000000" w:rsidP="00000000" w:rsidRDefault="00000000" w:rsidRPr="00000000" w14:paraId="00000025">
      <w:pPr>
        <w:numPr>
          <w:ilvl w:val="0"/>
          <w:numId w:val="1"/>
        </w:numPr>
        <w:spacing w:line="276" w:lineRule="auto"/>
        <w:ind w:left="720" w:hanging="360"/>
        <w:rPr>
          <w:rFonts w:ascii="Cambria" w:cs="Cambria" w:eastAsia="Cambria" w:hAnsi="Cambria"/>
          <w:sz w:val="24"/>
          <w:szCs w:val="24"/>
        </w:rPr>
      </w:pPr>
      <w:r w:rsidDel="00000000" w:rsidR="00000000" w:rsidRPr="00000000">
        <w:rPr>
          <w:rFonts w:ascii="Cambria" w:cs="Cambria" w:eastAsia="Cambria" w:hAnsi="Cambria"/>
          <w:sz w:val="28"/>
          <w:szCs w:val="28"/>
          <w:rtl w:val="0"/>
        </w:rPr>
        <w:t xml:space="preserve">The Challenged Measures ‘Expropriated’ the property rights in Philip Morris’ trademarks without compensation; [expropriation is when a government seizes private property, often illegitimately]. </w:t>
      </w:r>
    </w:p>
    <w:p w:rsidR="00000000" w:rsidDel="00000000" w:rsidP="00000000" w:rsidRDefault="00000000" w:rsidRPr="00000000" w14:paraId="00000026">
      <w:pPr>
        <w:numPr>
          <w:ilvl w:val="0"/>
          <w:numId w:val="1"/>
        </w:numPr>
        <w:spacing w:line="276" w:lineRule="auto"/>
        <w:ind w:left="720" w:hanging="360"/>
        <w:rPr>
          <w:rFonts w:ascii="Cambria" w:cs="Cambria" w:eastAsia="Cambria" w:hAnsi="Cambria"/>
          <w:sz w:val="24"/>
          <w:szCs w:val="24"/>
        </w:rPr>
      </w:pPr>
      <w:r w:rsidDel="00000000" w:rsidR="00000000" w:rsidRPr="00000000">
        <w:rPr>
          <w:rFonts w:ascii="Cambria" w:cs="Cambria" w:eastAsia="Cambria" w:hAnsi="Cambria"/>
          <w:sz w:val="28"/>
          <w:szCs w:val="28"/>
          <w:rtl w:val="0"/>
        </w:rPr>
        <w:t xml:space="preserve">The Challenged Measures were arbitrary because they were not supported by evidence to show they would work and the government did not follow effective due process when adopting the measures. Uruguay therefore did not accord Philip Morris’ with ‘Fair and Equitable Treatment’;</w:t>
      </w:r>
    </w:p>
    <w:p w:rsidR="00000000" w:rsidDel="00000000" w:rsidP="00000000" w:rsidRDefault="00000000" w:rsidRPr="00000000" w14:paraId="00000027">
      <w:pPr>
        <w:numPr>
          <w:ilvl w:val="0"/>
          <w:numId w:val="1"/>
        </w:numPr>
        <w:spacing w:line="276" w:lineRule="auto"/>
        <w:ind w:left="720" w:hanging="360"/>
        <w:rPr>
          <w:rFonts w:ascii="Cambria" w:cs="Cambria" w:eastAsia="Cambria" w:hAnsi="Cambria"/>
          <w:sz w:val="24"/>
          <w:szCs w:val="24"/>
        </w:rPr>
      </w:pPr>
      <w:r w:rsidDel="00000000" w:rsidR="00000000" w:rsidRPr="00000000">
        <w:rPr>
          <w:rFonts w:ascii="Cambria" w:cs="Cambria" w:eastAsia="Cambria" w:hAnsi="Cambria"/>
          <w:sz w:val="28"/>
          <w:szCs w:val="28"/>
          <w:rtl w:val="0"/>
        </w:rPr>
        <w:t xml:space="preserve">The Challenged Measures did not meet Philip Morris’ ‘Legitimate Expectations’ of a stable regulatory environment or to be able to use their brand assets to make a profit;</w:t>
      </w:r>
    </w:p>
    <w:p w:rsidR="00000000" w:rsidDel="00000000" w:rsidP="00000000" w:rsidRDefault="00000000" w:rsidRPr="00000000" w14:paraId="00000028">
      <w:pPr>
        <w:numPr>
          <w:ilvl w:val="0"/>
          <w:numId w:val="1"/>
        </w:numPr>
        <w:spacing w:line="276" w:lineRule="auto"/>
        <w:ind w:left="720" w:hanging="360"/>
        <w:rPr>
          <w:rFonts w:ascii="Cambria" w:cs="Cambria" w:eastAsia="Cambria" w:hAnsi="Cambria"/>
          <w:sz w:val="24"/>
          <w:szCs w:val="24"/>
        </w:rPr>
      </w:pPr>
      <w:r w:rsidDel="00000000" w:rsidR="00000000" w:rsidRPr="00000000">
        <w:rPr>
          <w:rFonts w:ascii="Cambria" w:cs="Cambria" w:eastAsia="Cambria" w:hAnsi="Cambria"/>
          <w:sz w:val="28"/>
          <w:szCs w:val="28"/>
          <w:rtl w:val="0"/>
        </w:rPr>
        <w:t xml:space="preserve">The Uruguayan courts had not dealt properly or fairly with Philip Morris’ domestic legal challenges such that there was a ‘Denial of Justice’.</w:t>
      </w:r>
    </w:p>
    <w:p w:rsidR="00000000" w:rsidDel="00000000" w:rsidP="00000000" w:rsidRDefault="00000000" w:rsidRPr="00000000" w14:paraId="00000029">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A">
      <w:pPr>
        <w:spacing w:line="276"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Uruguay's Laws Under Challenge</w:t>
      </w:r>
    </w:p>
    <w:p w:rsidR="00000000" w:rsidDel="00000000" w:rsidP="00000000" w:rsidRDefault="00000000" w:rsidRPr="00000000" w14:paraId="0000002B">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C">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2008 and 2009 Uruguay adopted two new laws, the first to address the tobacco industry’s use of brand variants that </w:t>
      </w:r>
      <w:hyperlink r:id="rId6">
        <w:r w:rsidDel="00000000" w:rsidR="00000000" w:rsidRPr="00000000">
          <w:rPr>
            <w:rFonts w:ascii="Cambria" w:cs="Cambria" w:eastAsia="Cambria" w:hAnsi="Cambria"/>
            <w:color w:val="0563c1"/>
            <w:sz w:val="28"/>
            <w:szCs w:val="28"/>
            <w:u w:val="single"/>
            <w:rtl w:val="0"/>
          </w:rPr>
          <w:t xml:space="preserve">falsely imply some cigarettes are less harmful</w:t>
        </w:r>
      </w:hyperlink>
      <w:r w:rsidDel="00000000" w:rsidR="00000000" w:rsidRPr="00000000">
        <w:rPr>
          <w:rFonts w:ascii="Cambria" w:cs="Cambria" w:eastAsia="Cambria" w:hAnsi="Cambria"/>
          <w:sz w:val="28"/>
          <w:szCs w:val="28"/>
          <w:rtl w:val="0"/>
        </w:rPr>
        <w:t xml:space="preserve"> and tobacco industry tactic of </w:t>
      </w:r>
      <w:hyperlink r:id="rId7">
        <w:r w:rsidDel="00000000" w:rsidR="00000000" w:rsidRPr="00000000">
          <w:rPr>
            <w:rFonts w:ascii="Cambria" w:cs="Cambria" w:eastAsia="Cambria" w:hAnsi="Cambria"/>
            <w:color w:val="0563c1"/>
            <w:sz w:val="28"/>
            <w:szCs w:val="28"/>
            <w:u w:val="single"/>
            <w:rtl w:val="0"/>
          </w:rPr>
          <w:t xml:space="preserve">replacing misleading terms with colors</w:t>
        </w:r>
      </w:hyperlink>
      <w:r w:rsidDel="00000000" w:rsidR="00000000" w:rsidRPr="00000000">
        <w:rPr>
          <w:rFonts w:ascii="Cambria" w:cs="Cambria" w:eastAsia="Cambria" w:hAnsi="Cambria"/>
          <w:sz w:val="28"/>
          <w:szCs w:val="28"/>
          <w:rtl w:val="0"/>
        </w:rPr>
        <w:t xml:space="preserve">; and the second to introduce </w:t>
      </w:r>
      <w:hyperlink r:id="rId8">
        <w:r w:rsidDel="00000000" w:rsidR="00000000" w:rsidRPr="00000000">
          <w:rPr>
            <w:rFonts w:ascii="Cambria" w:cs="Cambria" w:eastAsia="Cambria" w:hAnsi="Cambria"/>
            <w:color w:val="0563c1"/>
            <w:sz w:val="28"/>
            <w:szCs w:val="28"/>
            <w:u w:val="single"/>
            <w:rtl w:val="0"/>
          </w:rPr>
          <w:t xml:space="preserve">more effective health warnings</w:t>
        </w:r>
      </w:hyperlink>
      <w:r w:rsidDel="00000000" w:rsidR="00000000" w:rsidRPr="00000000">
        <w:rPr>
          <w:rFonts w:ascii="Cambria" w:cs="Cambria" w:eastAsia="Cambria" w:hAnsi="Cambria"/>
          <w:sz w:val="28"/>
          <w:szCs w:val="28"/>
          <w:rtl w:val="0"/>
        </w:rPr>
        <w:t xml:space="preserve">, and to implement Uruguay’s obligations under the WHO Framework Convention on Tobacco Control. Details of these laws can be found</w:t>
      </w:r>
      <w:hyperlink r:id="rId9">
        <w:r w:rsidDel="00000000" w:rsidR="00000000" w:rsidRPr="00000000">
          <w:rPr>
            <w:rFonts w:ascii="Cambria" w:cs="Cambria" w:eastAsia="Cambria" w:hAnsi="Cambria"/>
            <w:color w:val="0563c1"/>
            <w:sz w:val="28"/>
            <w:szCs w:val="28"/>
            <w:u w:val="single"/>
            <w:rtl w:val="0"/>
          </w:rPr>
          <w:t xml:space="preserve"> here</w:t>
        </w:r>
      </w:hyperlink>
      <w:r w:rsidDel="00000000" w:rsidR="00000000" w:rsidRPr="00000000">
        <w:rPr>
          <w:rFonts w:ascii="Cambria" w:cs="Cambria" w:eastAsia="Cambria" w:hAnsi="Cambria"/>
          <w:sz w:val="28"/>
          <w:szCs w:val="28"/>
          <w:rtl w:val="0"/>
        </w:rPr>
        <w:t xml:space="preserve">.</w:t>
      </w:r>
    </w:p>
    <w:p w:rsidR="00000000" w:rsidDel="00000000" w:rsidP="00000000" w:rsidRDefault="00000000" w:rsidRPr="00000000" w14:paraId="0000002D">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E">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two ‘Challenged Measures’ were:</w:t>
      </w:r>
    </w:p>
    <w:p w:rsidR="00000000" w:rsidDel="00000000" w:rsidP="00000000" w:rsidRDefault="00000000" w:rsidRPr="00000000" w14:paraId="0000002F">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0">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1. </w:t>
      </w:r>
      <w:r w:rsidDel="00000000" w:rsidR="00000000" w:rsidRPr="00000000">
        <w:rPr>
          <w:rFonts w:ascii="Cambria" w:cs="Cambria" w:eastAsia="Cambria" w:hAnsi="Cambria"/>
          <w:b w:val="1"/>
          <w:sz w:val="28"/>
          <w:szCs w:val="28"/>
          <w:rtl w:val="0"/>
        </w:rPr>
        <w:t xml:space="preserve">Large graphic health warnings covering 80%</w:t>
      </w:r>
      <w:r w:rsidDel="00000000" w:rsidR="00000000" w:rsidRPr="00000000">
        <w:rPr>
          <w:rFonts w:ascii="Cambria" w:cs="Cambria" w:eastAsia="Cambria" w:hAnsi="Cambria"/>
          <w:sz w:val="28"/>
          <w:szCs w:val="28"/>
          <w:rtl w:val="0"/>
        </w:rPr>
        <w:t xml:space="preserve"> of the front and back of cigarette packets.</w:t>
      </w:r>
    </w:p>
    <w:p w:rsidR="00000000" w:rsidDel="00000000" w:rsidP="00000000" w:rsidRDefault="00000000" w:rsidRPr="00000000" w14:paraId="00000031">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2. </w:t>
      </w:r>
      <w:r w:rsidDel="00000000" w:rsidR="00000000" w:rsidRPr="00000000">
        <w:rPr>
          <w:rFonts w:ascii="Cambria" w:cs="Cambria" w:eastAsia="Cambria" w:hAnsi="Cambria"/>
          <w:b w:val="1"/>
          <w:sz w:val="28"/>
          <w:szCs w:val="28"/>
          <w:rtl w:val="0"/>
        </w:rPr>
        <w:t xml:space="preserve">The Single Presentation Requirement</w:t>
      </w:r>
      <w:r w:rsidDel="00000000" w:rsidR="00000000" w:rsidRPr="00000000">
        <w:rPr>
          <w:rFonts w:ascii="Cambria" w:cs="Cambria" w:eastAsia="Cambria" w:hAnsi="Cambria"/>
          <w:sz w:val="28"/>
          <w:szCs w:val="28"/>
          <w:rtl w:val="0"/>
        </w:rPr>
        <w:t xml:space="preserve"> (SPR) which limits each cigarette brand to a single variation. This eliminates brand families and variants such as ‘gold’, ‘silver’ or ‘blue’ which replaced misleading terms such as ‘light’ and ‘mild’. The SPR addresses evidence that these variants can mislead consumers and falsely imply some cigarettes are less harmful than others.</w:t>
      </w:r>
    </w:p>
    <w:p w:rsidR="00000000" w:rsidDel="00000000" w:rsidP="00000000" w:rsidRDefault="00000000" w:rsidRPr="00000000" w14:paraId="00000032">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3">
      <w:pPr>
        <w:spacing w:line="276"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The Tribunal’s Award</w:t>
      </w:r>
    </w:p>
    <w:p w:rsidR="00000000" w:rsidDel="00000000" w:rsidP="00000000" w:rsidRDefault="00000000" w:rsidRPr="00000000" w14:paraId="00000034">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This </w:t>
      </w:r>
      <w:hyperlink r:id="rId10">
        <w:r w:rsidDel="00000000" w:rsidR="00000000" w:rsidRPr="00000000">
          <w:rPr>
            <w:rFonts w:ascii="Cambria" w:cs="Cambria" w:eastAsia="Cambria" w:hAnsi="Cambria"/>
            <w:color w:val="0563c1"/>
            <w:sz w:val="28"/>
            <w:szCs w:val="28"/>
            <w:u w:val="single"/>
            <w:rtl w:val="0"/>
          </w:rPr>
          <w:t xml:space="preserve">highly anticipated award</w:t>
        </w:r>
      </w:hyperlink>
      <w:r w:rsidDel="00000000" w:rsidR="00000000" w:rsidRPr="00000000">
        <w:rPr>
          <w:rFonts w:ascii="Cambria" w:cs="Cambria" w:eastAsia="Cambria" w:hAnsi="Cambria"/>
          <w:sz w:val="28"/>
          <w:szCs w:val="28"/>
          <w:rtl w:val="0"/>
        </w:rPr>
        <w:t xml:space="preserve"> addressed a number of fundamental legal issues concerning the balance between investor rights and the space available for states’ to regulate for public health under international investment law. While there is no doctrine of binding precedent for arbitration rulings, the development of an investment treaty case law and jurisprudence means that the wider value of each award can be very significant.</w:t>
      </w:r>
    </w:p>
    <w:p w:rsidR="00000000" w:rsidDel="00000000" w:rsidP="00000000" w:rsidRDefault="00000000" w:rsidRPr="00000000" w14:paraId="00000035">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6">
      <w:pPr>
        <w:spacing w:line="276" w:lineRule="auto"/>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Significant aspects of the tribunal ruling include</w:t>
      </w:r>
      <w:r w:rsidDel="00000000" w:rsidR="00000000" w:rsidRPr="00000000">
        <w:rPr>
          <w:rFonts w:ascii="Cambria" w:cs="Cambria" w:eastAsia="Cambria" w:hAnsi="Cambria"/>
          <w:sz w:val="28"/>
          <w:szCs w:val="28"/>
          <w:rtl w:val="0"/>
        </w:rPr>
        <w:t xml:space="preserve">:</w:t>
      </w:r>
    </w:p>
    <w:p w:rsidR="00000000" w:rsidDel="00000000" w:rsidP="00000000" w:rsidRDefault="00000000" w:rsidRPr="00000000" w14:paraId="00000037">
      <w:pPr>
        <w:numPr>
          <w:ilvl w:val="0"/>
          <w:numId w:val="4"/>
        </w:numPr>
        <w:spacing w:line="276" w:lineRule="auto"/>
        <w:ind w:left="720" w:hanging="360"/>
        <w:rPr>
          <w:rFonts w:ascii="Cambria" w:cs="Cambria" w:eastAsia="Cambria" w:hAnsi="Cambria"/>
          <w:sz w:val="24"/>
          <w:szCs w:val="24"/>
        </w:rPr>
      </w:pPr>
      <w:r w:rsidDel="00000000" w:rsidR="00000000" w:rsidRPr="00000000">
        <w:rPr>
          <w:rFonts w:ascii="Cambria" w:cs="Cambria" w:eastAsia="Cambria" w:hAnsi="Cambria"/>
          <w:sz w:val="28"/>
          <w:szCs w:val="28"/>
          <w:rtl w:val="0"/>
        </w:rPr>
        <w:t xml:space="preserve">The importance of the WHO Framework Convention on Tobacco Control (FCTC) in setting tobacco control objectives and establishing the evidence base for measures, and confirmed that states therefore need not recreate local evidence for FCTC policies.</w:t>
      </w:r>
    </w:p>
    <w:p w:rsidR="00000000" w:rsidDel="00000000" w:rsidP="00000000" w:rsidRDefault="00000000" w:rsidRPr="00000000" w14:paraId="00000038">
      <w:pPr>
        <w:numPr>
          <w:ilvl w:val="0"/>
          <w:numId w:val="4"/>
        </w:numPr>
        <w:spacing w:line="276" w:lineRule="auto"/>
        <w:ind w:left="720" w:hanging="360"/>
        <w:rPr>
          <w:rFonts w:ascii="Cambria" w:cs="Cambria" w:eastAsia="Cambria" w:hAnsi="Cambria"/>
          <w:sz w:val="24"/>
          <w:szCs w:val="24"/>
        </w:rPr>
      </w:pPr>
      <w:r w:rsidDel="00000000" w:rsidR="00000000" w:rsidRPr="00000000">
        <w:rPr>
          <w:rFonts w:ascii="Cambria" w:cs="Cambria" w:eastAsia="Cambria" w:hAnsi="Cambria"/>
          <w:sz w:val="28"/>
          <w:szCs w:val="28"/>
          <w:rtl w:val="0"/>
        </w:rPr>
        <w:t xml:space="preserve">That sovereign states have a wide ‘margin of appreciation’ and that tribunals should give significant deference to sovereign states’ decisions to adopt public health measures. Tribunals should not second guess complex public policy decisions.</w:t>
      </w:r>
    </w:p>
    <w:p w:rsidR="00000000" w:rsidDel="00000000" w:rsidP="00000000" w:rsidRDefault="00000000" w:rsidRPr="00000000" w14:paraId="00000039">
      <w:pPr>
        <w:numPr>
          <w:ilvl w:val="0"/>
          <w:numId w:val="4"/>
        </w:numPr>
        <w:spacing w:line="276" w:lineRule="auto"/>
        <w:ind w:left="720" w:hanging="360"/>
        <w:rPr>
          <w:rFonts w:ascii="Cambria" w:cs="Cambria" w:eastAsia="Cambria" w:hAnsi="Cambria"/>
          <w:sz w:val="24"/>
          <w:szCs w:val="24"/>
        </w:rPr>
      </w:pPr>
      <w:r w:rsidDel="00000000" w:rsidR="00000000" w:rsidRPr="00000000">
        <w:rPr>
          <w:rFonts w:ascii="Cambria" w:cs="Cambria" w:eastAsia="Cambria" w:hAnsi="Cambria"/>
          <w:sz w:val="28"/>
          <w:szCs w:val="28"/>
          <w:rtl w:val="0"/>
        </w:rPr>
        <w:t xml:space="preserve">It is sufficient that a measure is an attempt to address a public health concern and is taken in good faith. A state need not prove a direct causal link between the measure and any observed public health outcomes.</w:t>
      </w:r>
    </w:p>
    <w:p w:rsidR="00000000" w:rsidDel="00000000" w:rsidP="00000000" w:rsidRDefault="00000000" w:rsidRPr="00000000" w14:paraId="0000003A">
      <w:pPr>
        <w:numPr>
          <w:ilvl w:val="0"/>
          <w:numId w:val="4"/>
        </w:numPr>
        <w:spacing w:line="276" w:lineRule="auto"/>
        <w:ind w:left="720" w:hanging="360"/>
        <w:rPr>
          <w:rFonts w:ascii="Cambria" w:cs="Cambria" w:eastAsia="Cambria" w:hAnsi="Cambria"/>
          <w:sz w:val="24"/>
          <w:szCs w:val="24"/>
        </w:rPr>
      </w:pPr>
      <w:r w:rsidDel="00000000" w:rsidR="00000000" w:rsidRPr="00000000">
        <w:rPr>
          <w:rFonts w:ascii="Cambria" w:cs="Cambria" w:eastAsia="Cambria" w:hAnsi="Cambria"/>
          <w:sz w:val="28"/>
          <w:szCs w:val="28"/>
          <w:rtl w:val="0"/>
        </w:rPr>
        <w:t xml:space="preserve">Manufacturers and distributors of harmful products such as cigarettes can have no expectation that new and more onerous regulations will not be imposed – rather the expectation should be of progressively more stringent regulation.</w:t>
      </w:r>
    </w:p>
    <w:p w:rsidR="00000000" w:rsidDel="00000000" w:rsidP="00000000" w:rsidRDefault="00000000" w:rsidRPr="00000000" w14:paraId="0000003B">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C">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ruling sets an extremely high bar for any foreign investor (such as a tobacco company) seeking to bring an investment arbitration challenge against a non-discriminatory public health measure taken in good faith. WHO FCTC member states that are implementing the obligations or recommendations of that treaty can rely on this ruling to defend their tobacco control measures.</w:t>
      </w:r>
    </w:p>
    <w:p w:rsidR="00000000" w:rsidDel="00000000" w:rsidP="00000000" w:rsidRDefault="00000000" w:rsidRPr="00000000" w14:paraId="0000003D">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E">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If Philip Morris had succeeded against Uruguay it would have been a green light for the tobacco industry to commence investment treaty claims challenging large health warnings and tobacco plain packaging laws around the world. The potential for a global ‘chill’ on the efforts to reduce tobacco use would have been enormous. The significance of Uruguay’s win should be measured against the global impact that a loss in this case would have had.</w:t>
      </w:r>
    </w:p>
    <w:p w:rsidR="00000000" w:rsidDel="00000000" w:rsidP="00000000" w:rsidRDefault="00000000" w:rsidRPr="00000000" w14:paraId="0000003F">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0">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Following Uruguay’s example, many more countries around the world have implemented strong packaging and labeling measures, as called for by the WHO Framework Convention on Tobacco Control. See a </w:t>
      </w:r>
      <w:hyperlink r:id="rId11">
        <w:r w:rsidDel="00000000" w:rsidR="00000000" w:rsidRPr="00000000">
          <w:rPr>
            <w:rFonts w:ascii="Cambria" w:cs="Cambria" w:eastAsia="Cambria" w:hAnsi="Cambria"/>
            <w:color w:val="0563c1"/>
            <w:sz w:val="28"/>
            <w:szCs w:val="28"/>
            <w:u w:val="single"/>
            <w:rtl w:val="0"/>
          </w:rPr>
          <w:t xml:space="preserve">complete list of countries here.</w:t>
        </w:r>
      </w:hyperlink>
      <w:r w:rsidDel="00000000" w:rsidR="00000000" w:rsidRPr="00000000">
        <w:rPr>
          <w:rtl w:val="0"/>
        </w:rPr>
      </w:r>
    </w:p>
    <w:p w:rsidR="00000000" w:rsidDel="00000000" w:rsidP="00000000" w:rsidRDefault="00000000" w:rsidRPr="00000000" w14:paraId="00000041">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42">
      <w:pPr>
        <w:spacing w:line="276"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The Tribunal Process</w:t>
      </w:r>
    </w:p>
    <w:p w:rsidR="00000000" w:rsidDel="00000000" w:rsidP="00000000" w:rsidRDefault="00000000" w:rsidRPr="00000000" w14:paraId="00000043">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4">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most common way to resolve disputes under an international investment treaties is by an investor-state arbitration, heard by an ad hoc tribunal [a group that comes together as it is needed] are resolved by a panel of 3 international lawyers appointed by the parties. In this case, Uruguay appointed James Crawford, Philip Morris PMI appointed Gary Born, and the chair, Peiro Bernardini, was appointed by ICSID because the parties could not agree a third arbitrator. Gary Born produced a dissenting opinion that would have awarded the case to Philip Morris, had the majority agreed with him.</w:t>
      </w:r>
    </w:p>
    <w:p w:rsidR="00000000" w:rsidDel="00000000" w:rsidP="00000000" w:rsidRDefault="00000000" w:rsidRPr="00000000" w14:paraId="00000045">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6">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panel of three arbitrators published their ruling on July 8, 2016, dismissing all Philip Morris PMI’s claims. The ruling is final and cannot be appealed.</w:t>
      </w:r>
    </w:p>
    <w:p w:rsidR="00000000" w:rsidDel="00000000" w:rsidP="00000000" w:rsidRDefault="00000000" w:rsidRPr="00000000" w14:paraId="00000047">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48">
      <w:pPr>
        <w:spacing w:line="276" w:lineRule="auto"/>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Length of Proceedings</w:t>
      </w:r>
      <w:r w:rsidDel="00000000" w:rsidR="00000000" w:rsidRPr="00000000">
        <w:rPr>
          <w:rFonts w:ascii="Cambria" w:cs="Cambria" w:eastAsia="Cambria" w:hAnsi="Cambria"/>
          <w:sz w:val="28"/>
          <w:szCs w:val="28"/>
          <w:rtl w:val="0"/>
        </w:rPr>
        <w:t xml:space="preserve">: The arbitration took over six years, with the arbitration request registered in March 2010 and the award issued July 2016;</w:t>
      </w:r>
    </w:p>
    <w:p w:rsidR="00000000" w:rsidDel="00000000" w:rsidP="00000000" w:rsidRDefault="00000000" w:rsidRPr="00000000" w14:paraId="00000049">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4A">
      <w:pPr>
        <w:spacing w:line="276" w:lineRule="auto"/>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Costs</w:t>
      </w:r>
      <w:r w:rsidDel="00000000" w:rsidR="00000000" w:rsidRPr="00000000">
        <w:rPr>
          <w:rFonts w:ascii="Cambria" w:cs="Cambria" w:eastAsia="Cambria" w:hAnsi="Cambria"/>
          <w:sz w:val="28"/>
          <w:szCs w:val="28"/>
          <w:rtl w:val="0"/>
        </w:rPr>
        <w:t xml:space="preserve">: The government of Uruguay had to spend around $10 million in legal fees – the tribunal ordered Philip Morris to pay $7million of this. Philip Morris’ costs were in the region of $17 million and arbitration costs were $1.5 million. Overall, the costs amounted to over $28 million in a case where the damages claimed by Philip Morris were $25 million. This further implies that Philip Morris brought the case to create a wider regulatory chill in governments worldwide, rather than because of a genuine concern or legitimate over its investments in Uruguay.</w:t>
      </w:r>
    </w:p>
    <w:p w:rsidR="00000000" w:rsidDel="00000000" w:rsidP="00000000" w:rsidRDefault="00000000" w:rsidRPr="00000000" w14:paraId="0000004B">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4C">
      <w:pPr>
        <w:spacing w:line="276"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What are International Investment Treaties?</w:t>
      </w:r>
    </w:p>
    <w:p w:rsidR="00000000" w:rsidDel="00000000" w:rsidP="00000000" w:rsidRDefault="00000000" w:rsidRPr="00000000" w14:paraId="0000004D">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Philip Morris claimed that Uruguay’s laws violated a </w:t>
      </w:r>
      <w:hyperlink r:id="rId12">
        <w:r w:rsidDel="00000000" w:rsidR="00000000" w:rsidRPr="00000000">
          <w:rPr>
            <w:rFonts w:ascii="Cambria" w:cs="Cambria" w:eastAsia="Cambria" w:hAnsi="Cambria"/>
            <w:color w:val="0563c1"/>
            <w:sz w:val="28"/>
            <w:szCs w:val="28"/>
            <w:u w:val="single"/>
            <w:rtl w:val="0"/>
          </w:rPr>
          <w:t xml:space="preserve">bilateral investment treaty</w:t>
        </w:r>
      </w:hyperlink>
      <w:r w:rsidDel="00000000" w:rsidR="00000000" w:rsidRPr="00000000">
        <w:rPr>
          <w:rFonts w:ascii="Cambria" w:cs="Cambria" w:eastAsia="Cambria" w:hAnsi="Cambria"/>
          <w:sz w:val="28"/>
          <w:szCs w:val="28"/>
          <w:rtl w:val="0"/>
        </w:rPr>
        <w:t xml:space="preserve"> between Uruguay and Switzerland, where Philip Morris has its operations center.</w:t>
      </w:r>
    </w:p>
    <w:p w:rsidR="00000000" w:rsidDel="00000000" w:rsidP="00000000" w:rsidRDefault="00000000" w:rsidRPr="00000000" w14:paraId="0000004E">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Bilateral investment treaties (BITs) are agreements between two states that are intended to encourage direct foreign investment by providing certain protections and promises to investors from the other state. For instance most BITs guarantee that a government:</w:t>
      </w:r>
    </w:p>
    <w:p w:rsidR="00000000" w:rsidDel="00000000" w:rsidP="00000000" w:rsidRDefault="00000000" w:rsidRPr="00000000" w14:paraId="0000004F">
      <w:pPr>
        <w:numPr>
          <w:ilvl w:val="0"/>
          <w:numId w:val="3"/>
        </w:numPr>
        <w:spacing w:line="276" w:lineRule="auto"/>
        <w:ind w:left="720" w:hanging="360"/>
        <w:rPr>
          <w:rFonts w:ascii="Cambria" w:cs="Cambria" w:eastAsia="Cambria" w:hAnsi="Cambria"/>
          <w:sz w:val="24"/>
          <w:szCs w:val="24"/>
        </w:rPr>
      </w:pPr>
      <w:r w:rsidDel="00000000" w:rsidR="00000000" w:rsidRPr="00000000">
        <w:rPr>
          <w:rFonts w:ascii="Cambria" w:cs="Cambria" w:eastAsia="Cambria" w:hAnsi="Cambria"/>
          <w:sz w:val="28"/>
          <w:szCs w:val="28"/>
          <w:rtl w:val="0"/>
        </w:rPr>
        <w:t xml:space="preserve">will not take a foreign investor’s property (expropriation) except by lawful means and with proper compensation;</w:t>
      </w:r>
    </w:p>
    <w:p w:rsidR="00000000" w:rsidDel="00000000" w:rsidP="00000000" w:rsidRDefault="00000000" w:rsidRPr="00000000" w14:paraId="00000050">
      <w:pPr>
        <w:numPr>
          <w:ilvl w:val="0"/>
          <w:numId w:val="3"/>
        </w:numPr>
        <w:spacing w:line="276" w:lineRule="auto"/>
        <w:ind w:left="720" w:hanging="360"/>
        <w:rPr>
          <w:rFonts w:ascii="Cambria" w:cs="Cambria" w:eastAsia="Cambria" w:hAnsi="Cambria"/>
          <w:sz w:val="24"/>
          <w:szCs w:val="24"/>
        </w:rPr>
      </w:pPr>
      <w:r w:rsidDel="00000000" w:rsidR="00000000" w:rsidRPr="00000000">
        <w:rPr>
          <w:rFonts w:ascii="Cambria" w:cs="Cambria" w:eastAsia="Cambria" w:hAnsi="Cambria"/>
          <w:sz w:val="28"/>
          <w:szCs w:val="28"/>
          <w:rtl w:val="0"/>
        </w:rPr>
        <w:t xml:space="preserve">will not treat them differently from domestic investors;</w:t>
      </w:r>
    </w:p>
    <w:p w:rsidR="00000000" w:rsidDel="00000000" w:rsidP="00000000" w:rsidRDefault="00000000" w:rsidRPr="00000000" w14:paraId="00000051">
      <w:pPr>
        <w:numPr>
          <w:ilvl w:val="0"/>
          <w:numId w:val="3"/>
        </w:numPr>
        <w:spacing w:line="276" w:lineRule="auto"/>
        <w:ind w:left="720" w:hanging="360"/>
        <w:rPr>
          <w:rFonts w:ascii="Cambria" w:cs="Cambria" w:eastAsia="Cambria" w:hAnsi="Cambria"/>
          <w:sz w:val="24"/>
          <w:szCs w:val="24"/>
        </w:rPr>
      </w:pPr>
      <w:r w:rsidDel="00000000" w:rsidR="00000000" w:rsidRPr="00000000">
        <w:rPr>
          <w:rFonts w:ascii="Cambria" w:cs="Cambria" w:eastAsia="Cambria" w:hAnsi="Cambria"/>
          <w:sz w:val="28"/>
          <w:szCs w:val="28"/>
          <w:rtl w:val="0"/>
        </w:rPr>
        <w:t xml:space="preserve">will treat them in a ‘Fair and Equitable’ way which means not acting arbitrarily and providing a stable regulatory environment; and</w:t>
      </w:r>
    </w:p>
    <w:p w:rsidR="00000000" w:rsidDel="00000000" w:rsidP="00000000" w:rsidRDefault="00000000" w:rsidRPr="00000000" w14:paraId="00000052">
      <w:pPr>
        <w:numPr>
          <w:ilvl w:val="0"/>
          <w:numId w:val="3"/>
        </w:numPr>
        <w:spacing w:line="276" w:lineRule="auto"/>
        <w:ind w:left="720" w:hanging="360"/>
        <w:rPr>
          <w:rFonts w:ascii="Cambria" w:cs="Cambria" w:eastAsia="Cambria" w:hAnsi="Cambria"/>
          <w:sz w:val="24"/>
          <w:szCs w:val="24"/>
        </w:rPr>
      </w:pPr>
      <w:r w:rsidDel="00000000" w:rsidR="00000000" w:rsidRPr="00000000">
        <w:rPr>
          <w:rFonts w:ascii="Cambria" w:cs="Cambria" w:eastAsia="Cambria" w:hAnsi="Cambria"/>
          <w:sz w:val="28"/>
          <w:szCs w:val="28"/>
          <w:rtl w:val="0"/>
        </w:rPr>
        <w:t xml:space="preserve">will provide minimum standards of due process and justice.</w:t>
      </w:r>
    </w:p>
    <w:p w:rsidR="00000000" w:rsidDel="00000000" w:rsidP="00000000" w:rsidRDefault="00000000" w:rsidRPr="00000000" w14:paraId="00000053">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4">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There are over </w:t>
      </w:r>
      <w:hyperlink r:id="rId13">
        <w:r w:rsidDel="00000000" w:rsidR="00000000" w:rsidRPr="00000000">
          <w:rPr>
            <w:rFonts w:ascii="Cambria" w:cs="Cambria" w:eastAsia="Cambria" w:hAnsi="Cambria"/>
            <w:color w:val="0563c1"/>
            <w:sz w:val="28"/>
            <w:szCs w:val="28"/>
            <w:u w:val="single"/>
            <w:rtl w:val="0"/>
          </w:rPr>
          <w:t xml:space="preserve">3300 such treaties</w:t>
        </w:r>
      </w:hyperlink>
      <w:r w:rsidDel="00000000" w:rsidR="00000000" w:rsidRPr="00000000">
        <w:rPr>
          <w:rFonts w:ascii="Cambria" w:cs="Cambria" w:eastAsia="Cambria" w:hAnsi="Cambria"/>
          <w:sz w:val="28"/>
          <w:szCs w:val="28"/>
          <w:rtl w:val="0"/>
        </w:rPr>
        <w:t xml:space="preserve"> across the world with most nations have signed up to these protections for foreign investors, however, these treaties were never intended to allow corporations to interfere with the rights of sovereign nations to pass laws designed to protect public health.</w:t>
      </w:r>
    </w:p>
    <w:p w:rsidR="00000000" w:rsidDel="00000000" w:rsidP="00000000" w:rsidRDefault="00000000" w:rsidRPr="00000000" w14:paraId="00000055">
      <w:pPr>
        <w:spacing w:line="276"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global.tobaccofreekids.org/en/solutions/international_issues/warning_labels/" TargetMode="External"/><Relationship Id="rId10" Type="http://schemas.openxmlformats.org/officeDocument/2006/relationships/hyperlink" Target="http://tfk.org/uruguay_decision_2016" TargetMode="External"/><Relationship Id="rId13" Type="http://schemas.openxmlformats.org/officeDocument/2006/relationships/hyperlink" Target="http://investmentpolicyhub.unctad.org/IIA" TargetMode="External"/><Relationship Id="rId12" Type="http://schemas.openxmlformats.org/officeDocument/2006/relationships/hyperlink" Target="http://investmentpolicyhub.unctad.org/IIA/country/225/treaty/3004"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tobaccocontrollaws.org/legislation/country/uruguay/summary" TargetMode="External"/><Relationship Id="rId5" Type="http://schemas.openxmlformats.org/officeDocument/2006/relationships/styles" Target="styles.xml"/><Relationship Id="rId6" Type="http://schemas.openxmlformats.org/officeDocument/2006/relationships/hyperlink" Target="https://www.tobaccofreekids.org/press-releases/id_1216" TargetMode="External"/><Relationship Id="rId7" Type="http://schemas.openxmlformats.org/officeDocument/2006/relationships/hyperlink" Target="http://global.tobaccofreekids.org/files/pdfs/en/LL_misleading_terms_en.pdf" TargetMode="External"/><Relationship Id="rId8" Type="http://schemas.openxmlformats.org/officeDocument/2006/relationships/hyperlink" Target="http://global.tobaccofreekids.org/files/pdfs/en/GHWs_Bigger_July_2016.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