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How to understand the Brexit vote</w:t>
      </w:r>
    </w:p>
    <w:p w:rsidR="00000000" w:rsidDel="00000000" w:rsidP="00000000" w:rsidRDefault="00000000" w:rsidRPr="00000000" w14:paraId="00000002">
      <w:pPr>
        <w:rPr>
          <w:rFonts w:ascii="Cambria" w:cs="Cambria" w:eastAsia="Cambria" w:hAnsi="Cambria"/>
        </w:rPr>
      </w:pPr>
      <w:r w:rsidDel="00000000" w:rsidR="00000000" w:rsidRPr="00000000">
        <w:rPr>
          <w:rtl w:val="0"/>
        </w:rPr>
      </w:r>
    </w:p>
    <w:p w:rsidR="00000000" w:rsidDel="00000000" w:rsidP="00000000" w:rsidRDefault="00000000" w:rsidRPr="00000000" w14:paraId="00000003">
      <w:pPr>
        <w:rPr>
          <w:rFonts w:ascii="Cambria" w:cs="Cambria" w:eastAsia="Cambria" w:hAnsi="Cambria"/>
        </w:rPr>
      </w:pPr>
      <w:r w:rsidDel="00000000" w:rsidR="00000000" w:rsidRPr="00000000">
        <w:rPr>
          <w:rFonts w:ascii="Cambria" w:cs="Cambria" w:eastAsia="Cambria" w:hAnsi="Cambria"/>
          <w:rtl w:val="0"/>
        </w:rPr>
        <w:t xml:space="preserve">Based on what you understand about the issues surrounding the Brexit vote, try to identify as many relevant </w:t>
      </w:r>
      <w:r w:rsidDel="00000000" w:rsidR="00000000" w:rsidRPr="00000000">
        <w:rPr>
          <w:rFonts w:ascii="Cambria" w:cs="Cambria" w:eastAsia="Cambria" w:hAnsi="Cambria"/>
          <w:b w:val="1"/>
          <w:rtl w:val="0"/>
        </w:rPr>
        <w:t xml:space="preserve">demographic</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b w:val="1"/>
          <w:rtl w:val="0"/>
        </w:rPr>
        <w:t xml:space="preserve">ideological</w:t>
      </w:r>
      <w:r w:rsidDel="00000000" w:rsidR="00000000" w:rsidRPr="00000000">
        <w:rPr>
          <w:rFonts w:ascii="Cambria" w:cs="Cambria" w:eastAsia="Cambria" w:hAnsi="Cambria"/>
          <w:rtl w:val="0"/>
        </w:rPr>
        <w:t xml:space="preserve"> characteristics or other </w:t>
      </w:r>
      <w:r w:rsidDel="00000000" w:rsidR="00000000" w:rsidRPr="00000000">
        <w:rPr>
          <w:rFonts w:ascii="Cambria" w:cs="Cambria" w:eastAsia="Cambria" w:hAnsi="Cambria"/>
          <w:b w:val="1"/>
          <w:rtl w:val="0"/>
        </w:rPr>
        <w:t xml:space="preserve">descriptions</w:t>
      </w:r>
      <w:r w:rsidDel="00000000" w:rsidR="00000000" w:rsidRPr="00000000">
        <w:rPr>
          <w:rFonts w:ascii="Cambria" w:cs="Cambria" w:eastAsia="Cambria" w:hAnsi="Cambria"/>
          <w:rtl w:val="0"/>
        </w:rPr>
        <w:t xml:space="preserve"> to help explain how people voted on whether to leave or to remain in the EU. </w:t>
      </w:r>
    </w:p>
    <w:p w:rsidR="00000000" w:rsidDel="00000000" w:rsidP="00000000" w:rsidRDefault="00000000" w:rsidRPr="00000000" w14:paraId="00000004">
      <w:pPr>
        <w:rPr>
          <w:rFonts w:ascii="Cambria" w:cs="Cambria" w:eastAsia="Cambria" w:hAnsi="Cambria"/>
        </w:rPr>
      </w:pPr>
      <w:r w:rsidDel="00000000" w:rsidR="00000000" w:rsidRPr="00000000">
        <w:rPr>
          <w:rtl w:val="0"/>
        </w:rPr>
      </w:r>
    </w:p>
    <w:p w:rsidR="00000000" w:rsidDel="00000000" w:rsidP="00000000" w:rsidRDefault="00000000" w:rsidRPr="00000000" w14:paraId="00000005">
      <w:pPr>
        <w:rPr>
          <w:rFonts w:ascii="Cambria" w:cs="Cambria" w:eastAsia="Cambria" w:hAnsi="Cambria"/>
        </w:rPr>
      </w:pPr>
      <w:r w:rsidDel="00000000" w:rsidR="00000000" w:rsidRPr="00000000">
        <w:rPr>
          <w:rFonts w:ascii="Cambria" w:cs="Cambria" w:eastAsia="Cambria" w:hAnsi="Cambria"/>
          <w:rtl w:val="0"/>
        </w:rPr>
        <w:t xml:space="preserve">For example, younger people voted to remain, older people voted to leave. What other divides can you identify? You can do some research but you should have some ideas from the work we have done so far.</w:t>
      </w:r>
    </w:p>
    <w:p w:rsidR="00000000" w:rsidDel="00000000" w:rsidP="00000000" w:rsidRDefault="00000000" w:rsidRPr="00000000" w14:paraId="00000006">
      <w:pPr>
        <w:rPr>
          <w:rFonts w:ascii="Cambria" w:cs="Cambria" w:eastAsia="Cambria" w:hAnsi="Cambria"/>
          <w:b w:val="1"/>
          <w:sz w:val="32"/>
          <w:szCs w:val="32"/>
        </w:rPr>
      </w:pPr>
      <w:r w:rsidDel="00000000" w:rsidR="00000000" w:rsidRPr="00000000">
        <w:rPr>
          <w:rtl w:val="0"/>
        </w:rPr>
      </w:r>
    </w:p>
    <w:tbl>
      <w:tblPr>
        <w:tblStyle w:val="Table1"/>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75"/>
        <w:gridCol w:w="4675"/>
        <w:tblGridChange w:id="0">
          <w:tblGrid>
            <w:gridCol w:w="4675"/>
            <w:gridCol w:w="4675"/>
          </w:tblGrid>
        </w:tblGridChange>
      </w:tblGrid>
      <w:tr>
        <w:trPr>
          <w:cantSplit w:val="0"/>
          <w:tblHeader w:val="0"/>
        </w:trPr>
        <w:tc>
          <w:tcPr/>
          <w:p w:rsidR="00000000" w:rsidDel="00000000" w:rsidP="00000000" w:rsidRDefault="00000000" w:rsidRPr="00000000" w14:paraId="00000007">
            <w:pP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Leave</w:t>
            </w:r>
          </w:p>
        </w:tc>
        <w:tc>
          <w:tcPr/>
          <w:p w:rsidR="00000000" w:rsidDel="00000000" w:rsidP="00000000" w:rsidRDefault="00000000" w:rsidRPr="00000000" w14:paraId="00000008">
            <w:pP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Remain</w:t>
            </w:r>
          </w:p>
        </w:tc>
      </w:tr>
      <w:tr>
        <w:trPr>
          <w:cantSplit w:val="0"/>
          <w:trHeight w:val="5925" w:hRule="atLeast"/>
          <w:tblHeader w:val="0"/>
        </w:trPr>
        <w:tc>
          <w:tcPr/>
          <w:p w:rsidR="00000000" w:rsidDel="00000000" w:rsidP="00000000" w:rsidRDefault="00000000" w:rsidRPr="00000000" w14:paraId="0000000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32"/>
                <w:szCs w:val="32"/>
                <w:u w:val="none"/>
                <w:shd w:fill="auto" w:val="clear"/>
                <w:vertAlign w:val="baseline"/>
              </w:rPr>
            </w:pPr>
            <w:r w:rsidDel="00000000" w:rsidR="00000000" w:rsidRPr="00000000">
              <w:rPr>
                <w:rFonts w:ascii="Cambria" w:cs="Cambria" w:eastAsia="Cambria" w:hAnsi="Cambria"/>
                <w:b w:val="0"/>
                <w:i w:val="0"/>
                <w:smallCaps w:val="0"/>
                <w:strike w:val="0"/>
                <w:color w:val="000000"/>
                <w:sz w:val="32"/>
                <w:szCs w:val="32"/>
                <w:u w:val="none"/>
                <w:shd w:fill="auto" w:val="clear"/>
                <w:vertAlign w:val="baseline"/>
                <w:rtl w:val="0"/>
              </w:rPr>
              <w:t xml:space="preserve">Older voters</w:t>
            </w:r>
          </w:p>
        </w:tc>
        <w:tc>
          <w:tcPr/>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32"/>
                <w:szCs w:val="32"/>
                <w:u w:val="none"/>
                <w:shd w:fill="auto" w:val="clear"/>
                <w:vertAlign w:val="baseline"/>
              </w:rPr>
            </w:pPr>
            <w:r w:rsidDel="00000000" w:rsidR="00000000" w:rsidRPr="00000000">
              <w:rPr>
                <w:rFonts w:ascii="Cambria" w:cs="Cambria" w:eastAsia="Cambria" w:hAnsi="Cambria"/>
                <w:b w:val="0"/>
                <w:i w:val="0"/>
                <w:smallCaps w:val="0"/>
                <w:strike w:val="0"/>
                <w:color w:val="000000"/>
                <w:sz w:val="32"/>
                <w:szCs w:val="32"/>
                <w:u w:val="none"/>
                <w:shd w:fill="auto" w:val="clear"/>
                <w:vertAlign w:val="baseline"/>
                <w:rtl w:val="0"/>
              </w:rPr>
              <w:t xml:space="preserve">Younger voters</w:t>
            </w:r>
          </w:p>
        </w:tc>
      </w:tr>
    </w:tbl>
    <w:p w:rsidR="00000000" w:rsidDel="00000000" w:rsidP="00000000" w:rsidRDefault="00000000" w:rsidRPr="00000000" w14:paraId="0000000B">
      <w:pPr>
        <w:jc w:val="center"/>
        <w:rPr>
          <w:rFonts w:ascii="Cambria" w:cs="Cambria" w:eastAsia="Cambria" w:hAnsi="Cambria"/>
          <w:b w:val="1"/>
          <w:sz w:val="32"/>
          <w:szCs w:val="32"/>
        </w:rPr>
      </w:pPr>
      <w:bookmarkStart w:colFirst="0" w:colLast="0" w:name="_gjdgxs" w:id="0"/>
      <w:bookmarkEnd w:id="0"/>
      <w:r w:rsidDel="00000000" w:rsidR="00000000" w:rsidRPr="00000000">
        <w:rPr>
          <w:rtl w:val="0"/>
        </w:rPr>
      </w:r>
    </w:p>
    <w:p w:rsidR="00000000" w:rsidDel="00000000" w:rsidP="00000000" w:rsidRDefault="00000000" w:rsidRPr="00000000" w14:paraId="0000000C">
      <w:pPr>
        <w:rPr>
          <w:rFonts w:ascii="Cambria" w:cs="Cambria" w:eastAsia="Cambria" w:hAnsi="Cambria"/>
          <w:b w:val="1"/>
          <w:sz w:val="32"/>
          <w:szCs w:val="32"/>
        </w:rPr>
      </w:pPr>
      <w:bookmarkStart w:colFirst="0" w:colLast="0" w:name="_jsk6345aswxx" w:id="1"/>
      <w:bookmarkEnd w:id="1"/>
      <w:r w:rsidDel="00000000" w:rsidR="00000000" w:rsidRPr="00000000">
        <w:rPr>
          <w:rtl w:val="0"/>
        </w:rPr>
      </w:r>
    </w:p>
    <w:p w:rsidR="00000000" w:rsidDel="00000000" w:rsidP="00000000" w:rsidRDefault="00000000" w:rsidRPr="00000000" w14:paraId="0000000D">
      <w:pPr>
        <w:rPr>
          <w:rFonts w:ascii="Cambria" w:cs="Cambria" w:eastAsia="Cambria" w:hAnsi="Cambria"/>
          <w:b w:val="1"/>
          <w:color w:val="ff0000"/>
          <w:sz w:val="32"/>
          <w:szCs w:val="32"/>
        </w:rPr>
      </w:pPr>
      <w:bookmarkStart w:colFirst="0" w:colLast="0" w:name="_r2rerfa4syql" w:id="2"/>
      <w:bookmarkEnd w:id="2"/>
      <w:r w:rsidDel="00000000" w:rsidR="00000000" w:rsidRPr="00000000">
        <w:rPr>
          <w:rFonts w:ascii="Cambria" w:cs="Cambria" w:eastAsia="Cambria" w:hAnsi="Cambria"/>
          <w:b w:val="1"/>
          <w:color w:val="ff0000"/>
          <w:sz w:val="32"/>
          <w:szCs w:val="32"/>
          <w:rtl w:val="0"/>
        </w:rPr>
        <w:t xml:space="preserve">Anywheres vs. Somewheres: How to understand the Brexit vote and other global trends. </w:t>
      </w:r>
    </w:p>
    <w:p w:rsidR="00000000" w:rsidDel="00000000" w:rsidP="00000000" w:rsidRDefault="00000000" w:rsidRPr="00000000" w14:paraId="0000000E">
      <w:pPr>
        <w:rPr>
          <w:rFonts w:ascii="Cambria" w:cs="Cambria" w:eastAsia="Cambria" w:hAnsi="Cambria"/>
          <w:color w:val="ff0000"/>
        </w:rPr>
      </w:pPr>
      <w:bookmarkStart w:colFirst="0" w:colLast="0" w:name="_91u59yrlw9vr" w:id="3"/>
      <w:bookmarkEnd w:id="3"/>
      <w:r w:rsidDel="00000000" w:rsidR="00000000" w:rsidRPr="00000000">
        <w:rPr>
          <w:rtl w:val="0"/>
        </w:rPr>
      </w:r>
    </w:p>
    <w:p w:rsidR="00000000" w:rsidDel="00000000" w:rsidP="00000000" w:rsidRDefault="00000000" w:rsidRPr="00000000" w14:paraId="0000000F">
      <w:pPr>
        <w:rPr>
          <w:rFonts w:ascii="Cambria" w:cs="Cambria" w:eastAsia="Cambria" w:hAnsi="Cambria"/>
          <w:color w:val="ff0000"/>
          <w:sz w:val="32"/>
          <w:szCs w:val="32"/>
        </w:rPr>
      </w:pPr>
      <w:bookmarkStart w:colFirst="0" w:colLast="0" w:name="_i6ujnj6nqp27" w:id="4"/>
      <w:bookmarkEnd w:id="4"/>
      <w:r w:rsidDel="00000000" w:rsidR="00000000" w:rsidRPr="00000000">
        <w:rPr>
          <w:rFonts w:ascii="Cambria" w:cs="Cambria" w:eastAsia="Cambria" w:hAnsi="Cambria"/>
          <w:color w:val="ff0000"/>
          <w:rtl w:val="0"/>
        </w:rPr>
        <w:t xml:space="preserve">From </w:t>
      </w:r>
      <w:r w:rsidDel="00000000" w:rsidR="00000000" w:rsidRPr="00000000">
        <w:rPr>
          <w:rFonts w:ascii="Cambria" w:cs="Cambria" w:eastAsia="Cambria" w:hAnsi="Cambria"/>
          <w:i w:val="1"/>
          <w:color w:val="ff0000"/>
          <w:rtl w:val="0"/>
        </w:rPr>
        <w:t xml:space="preserve">The Road to Somwhere</w:t>
      </w:r>
      <w:r w:rsidDel="00000000" w:rsidR="00000000" w:rsidRPr="00000000">
        <w:rPr>
          <w:rFonts w:ascii="Cambria" w:cs="Cambria" w:eastAsia="Cambria" w:hAnsi="Cambria"/>
          <w:color w:val="ff0000"/>
          <w:rtl w:val="0"/>
        </w:rPr>
        <w:t xml:space="preserve"> by David Goodhart</w:t>
      </w:r>
      <w:r w:rsidDel="00000000" w:rsidR="00000000" w:rsidRPr="00000000">
        <w:rPr>
          <w:rtl w:val="0"/>
        </w:rPr>
      </w:r>
    </w:p>
    <w:p w:rsidR="00000000" w:rsidDel="00000000" w:rsidP="00000000" w:rsidRDefault="00000000" w:rsidRPr="00000000" w14:paraId="00000010">
      <w:pPr>
        <w:rPr>
          <w:rFonts w:ascii="Cambria" w:cs="Cambria" w:eastAsia="Cambria" w:hAnsi="Cambria"/>
          <w:b w:val="1"/>
        </w:rPr>
      </w:pPr>
      <w:r w:rsidDel="00000000" w:rsidR="00000000" w:rsidRPr="00000000">
        <w:rPr>
          <w:rtl w:val="0"/>
        </w:rPr>
      </w:r>
    </w:p>
    <w:p w:rsidR="00000000" w:rsidDel="00000000" w:rsidP="00000000" w:rsidRDefault="00000000" w:rsidRPr="00000000" w14:paraId="00000011">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“great divide” in Britain and elsewhere over core values between what he labels the “Anywheres” and the “Somewheres.” The Anywheres constitute about 25 percent of the British population, but they dominate the political class, and it is their concerns that dominate conversations in public policy. The Anywheres favor “progressive individualism.” They place a “high value on autonomy, mobility, and novelty” and a “much lower value” on “faith, flag, and family.” Anywheres are “comfortable with immigration, European integration, and . . . human-rights legislation,” which “dilute the claims of national citizenship.”</w:t>
      </w:r>
    </w:p>
    <w:p w:rsidR="00000000" w:rsidDel="00000000" w:rsidP="00000000" w:rsidRDefault="00000000" w:rsidRPr="00000000" w14:paraId="00000012">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3">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contrast to the people who see the world from “anywhere” are the people who see the world from “somewhere.” The Somewheres are more rooted and socially conservative, older, with less formal education but a greater attachment to tradition, the Crown, and the nation. Somewhere concerns (e.g., opposition to mass immigration) have often been ignored by both the Conservative and the Labour parties. Brexit, Goodhart tells us, was a Somewhere backlash against Anywheres going too far with their government policies.</w:t>
      </w:r>
      <w:r w:rsidDel="00000000" w:rsidR="00000000" w:rsidRPr="00000000">
        <w:rPr>
          <w:rFonts w:ascii="Cambria" w:cs="Cambria" w:eastAsia="Cambria" w:hAnsi="Cambria"/>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14">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5">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 key litmus test [way to tell the difference] to determine which one of these “values tribes” you belong to is your response to the question of whether Britain now feels like a foreign country. Goodhart cites a YouGov poll from 2011 that found 62% agreed with the proposition: “Britain has changed in recent times beyond recognition, it sometimes feels like a foreign country and this makes me uncomfortable.” Only 30% disagreed. A 2014 survey found a similar breakdown when asked if “people led happier lives in the old days”.</w:t>
      </w:r>
    </w:p>
    <w:p w:rsidR="00000000" w:rsidDel="00000000" w:rsidP="00000000" w:rsidRDefault="00000000" w:rsidRPr="00000000" w14:paraId="00000016">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7">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Unsurprisingly, the Somewhere/Anywhere distinction maps neatly on to the leave/remain divide. Indeed, the evidence he presents makes the victory of leave over remain seem all but foretold: the only surprise is that the winning margin of 52% to 48% was so narrow.</w:t>
      </w:r>
    </w:p>
    <w:p w:rsidR="00000000" w:rsidDel="00000000" w:rsidP="00000000" w:rsidRDefault="00000000" w:rsidRPr="00000000" w14:paraId="00000018">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9">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Given that result, which meant British liberals and internationalists lost something they regard as precious – British membership of the EU – the self-critical progressive will surely want to reflect on where they went wrong, how they found themselves out of step with a majority of their fellow citizens. There can be little escape from the damning conclusion that, when faced with the chasm in attitudes Goodhart charts, especially on immigration, liberals chose to put their fingers in their ears and sing la, la, la.</w:t>
      </w:r>
      <w:r w:rsidDel="00000000" w:rsidR="00000000" w:rsidRPr="00000000">
        <w:rPr>
          <w:rFonts w:ascii="Cambria" w:cs="Cambria" w:eastAsia="Cambria" w:hAnsi="Cambria"/>
          <w:sz w:val="28"/>
          <w:szCs w:val="28"/>
          <w:vertAlign w:val="superscript"/>
        </w:rPr>
        <w:footnoteReference w:customMarkFollows="0" w:id="1"/>
      </w:r>
      <w:r w:rsidDel="00000000" w:rsidR="00000000" w:rsidRPr="00000000">
        <w:rPr>
          <w:rtl w:val="0"/>
        </w:rPr>
      </w:r>
    </w:p>
    <w:sectPr>
      <w:pgSz w:h="15840" w:w="12240" w:orient="portrait"/>
      <w:pgMar w:bottom="1296" w:top="1296"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ambria"/>
  <w:font w:name="Courier New"/>
  <w:font w:name="Noto Sans Symbols"/>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Adapted from “Being Somewhere” by John Fonte </w:t>
      </w:r>
      <w:hyperlink r:id="rId1">
        <w:r w:rsidDel="00000000" w:rsidR="00000000" w:rsidRPr="00000000">
          <w:rPr>
            <w:rFonts w:ascii="Calibri" w:cs="Calibri" w:eastAsia="Calibri" w:hAnsi="Calibri"/>
            <w:b w:val="0"/>
            <w:i w:val="0"/>
            <w:smallCaps w:val="0"/>
            <w:strike w:val="0"/>
            <w:color w:val="0563c1"/>
            <w:sz w:val="20"/>
            <w:szCs w:val="20"/>
            <w:u w:val="single"/>
            <w:shd w:fill="auto" w:val="clear"/>
            <w:vertAlign w:val="baseline"/>
            <w:rtl w:val="0"/>
          </w:rPr>
          <w:t xml:space="preserve">https://www.nationalreview.com/magazine/2017/07/31/david-goodhart-the-road-to-somewhere/</w:t>
        </w:r>
      </w:hyperlink>
      <w:r w:rsidDel="00000000" w:rsidR="00000000" w:rsidRPr="00000000">
        <w:rPr>
          <w:rtl w:val="0"/>
        </w:rPr>
      </w:r>
    </w:p>
  </w:footnote>
  <w:footnote w:id="1">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Adapted from “The Road to Somewhere by David Goodhart” </w:t>
      </w:r>
      <w:hyperlink r:id="rId2">
        <w:r w:rsidDel="00000000" w:rsidR="00000000" w:rsidRPr="00000000">
          <w:rPr>
            <w:rFonts w:ascii="Calibri" w:cs="Calibri" w:eastAsia="Calibri" w:hAnsi="Calibri"/>
            <w:b w:val="0"/>
            <w:i w:val="0"/>
            <w:smallCaps w:val="0"/>
            <w:strike w:val="0"/>
            <w:color w:val="0563c1"/>
            <w:sz w:val="20"/>
            <w:szCs w:val="20"/>
            <w:u w:val="single"/>
            <w:shd w:fill="auto" w:val="clear"/>
            <w:vertAlign w:val="baseline"/>
            <w:rtl w:val="0"/>
          </w:rPr>
          <w:t xml:space="preserve">https://www.theguardian.com/books/2017/mar/22/the-road-to-somewhere-david-goodhart-populist-revolt-future-politics</w:t>
        </w:r>
      </w:hyperlink>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s://www.nationalreview.com/magazine/2017/07/31/david-goodhart-the-road-to-somewhere/" TargetMode="External"/><Relationship Id="rId2" Type="http://schemas.openxmlformats.org/officeDocument/2006/relationships/hyperlink" Target="https://www.theguardian.com/books/2017/mar/22/the-road-to-somewhere-david-goodhart-populist-revolt-future-politi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