
<file path=[Content_Types].xml><?xml version="1.0" encoding="utf-8"?>
<Types xmlns="http://schemas.openxmlformats.org/package/2006/content-types">
  <Default ContentType="application/xml" Extension="xml"/>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otnotes+xml" PartName="/word/footnot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Override ContentType="application/vnd.openxmlformats-officedocument.wordprocessingml.header+xml" PartName="/word/header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body>
    <w:p w:rsidR="00000000" w:rsidDel="00000000" w:rsidP="00000000" w:rsidRDefault="00000000" w:rsidRPr="00000000" w14:paraId="00000001">
      <w:pPr>
        <w:rPr>
          <w:rFonts w:ascii="Cambria" w:cs="Cambria" w:eastAsia="Cambria" w:hAnsi="Cambria"/>
          <w:b w:val="1"/>
          <w:sz w:val="28"/>
          <w:szCs w:val="28"/>
        </w:rPr>
      </w:pPr>
      <w:r w:rsidDel="00000000" w:rsidR="00000000" w:rsidRPr="00000000">
        <w:rPr>
          <w:rFonts w:ascii="Cambria" w:cs="Cambria" w:eastAsia="Cambria" w:hAnsi="Cambria"/>
          <w:b w:val="1"/>
          <w:sz w:val="28"/>
          <w:szCs w:val="28"/>
          <w:rtl w:val="0"/>
        </w:rPr>
        <w:t xml:space="preserve">These 25 Companies Are More Powerful Than Many Countries</w:t>
      </w:r>
      <w:r w:rsidDel="00000000" w:rsidR="00000000" w:rsidRPr="00000000">
        <w:rPr>
          <w:rFonts w:ascii="Cambria" w:cs="Cambria" w:eastAsia="Cambria" w:hAnsi="Cambria"/>
          <w:b w:val="1"/>
          <w:sz w:val="28"/>
          <w:szCs w:val="28"/>
          <w:vertAlign w:val="superscript"/>
        </w:rPr>
        <w:footnoteReference w:customMarkFollows="0" w:id="0"/>
      </w:r>
      <w:r w:rsidDel="00000000" w:rsidR="00000000" w:rsidRPr="00000000">
        <w:rPr>
          <w:rtl w:val="0"/>
        </w:rPr>
      </w:r>
    </w:p>
    <w:p w:rsidR="00000000" w:rsidDel="00000000" w:rsidP="00000000" w:rsidRDefault="00000000" w:rsidRPr="00000000" w14:paraId="00000002">
      <w:pPr>
        <w:rPr>
          <w:rFonts w:ascii="Cambria" w:cs="Cambria" w:eastAsia="Cambria" w:hAnsi="Cambria"/>
          <w:sz w:val="28"/>
          <w:szCs w:val="28"/>
        </w:rPr>
      </w:pPr>
      <w:r w:rsidDel="00000000" w:rsidR="00000000" w:rsidRPr="00000000">
        <w:rPr>
          <w:rtl w:val="0"/>
        </w:rPr>
      </w:r>
    </w:p>
    <w:p w:rsidR="00000000" w:rsidDel="00000000" w:rsidP="00000000" w:rsidRDefault="00000000" w:rsidRPr="00000000" w14:paraId="00000003">
      <w:pPr>
        <w:rPr>
          <w:rFonts w:ascii="Cambria" w:cs="Cambria" w:eastAsia="Cambria" w:hAnsi="Cambria"/>
          <w:i w:val="1"/>
          <w:sz w:val="28"/>
          <w:szCs w:val="28"/>
        </w:rPr>
      </w:pPr>
      <w:r w:rsidDel="00000000" w:rsidR="00000000" w:rsidRPr="00000000">
        <w:rPr>
          <w:rFonts w:ascii="Cambria" w:cs="Cambria" w:eastAsia="Cambria" w:hAnsi="Cambria"/>
          <w:i w:val="1"/>
          <w:sz w:val="28"/>
          <w:szCs w:val="28"/>
          <w:rtl w:val="0"/>
        </w:rPr>
        <w:t xml:space="preserve">Going stateless to maximize profits, multinational companies are vying with governments for global power. Who is winning?</w:t>
      </w:r>
    </w:p>
    <w:p w:rsidR="00000000" w:rsidDel="00000000" w:rsidP="00000000" w:rsidRDefault="00000000" w:rsidRPr="00000000" w14:paraId="00000004">
      <w:pPr>
        <w:rPr>
          <w:rFonts w:ascii="Cambria" w:cs="Cambria" w:eastAsia="Cambria" w:hAnsi="Cambria"/>
          <w:sz w:val="28"/>
          <w:szCs w:val="28"/>
        </w:rPr>
      </w:pPr>
      <w:r w:rsidDel="00000000" w:rsidR="00000000" w:rsidRPr="00000000">
        <w:rPr>
          <w:rtl w:val="0"/>
        </w:rPr>
      </w:r>
    </w:p>
    <w:p w:rsidR="00000000" w:rsidDel="00000000" w:rsidP="00000000" w:rsidRDefault="00000000" w:rsidRPr="00000000" w14:paraId="00000005">
      <w:pPr>
        <w:rPr>
          <w:rFonts w:ascii="Cambria" w:cs="Cambria" w:eastAsia="Cambria" w:hAnsi="Cambria"/>
          <w:sz w:val="28"/>
          <w:szCs w:val="28"/>
        </w:rPr>
      </w:pPr>
      <w:r w:rsidDel="00000000" w:rsidR="00000000" w:rsidRPr="00000000">
        <w:rPr>
          <w:rFonts w:ascii="Cambria" w:cs="Cambria" w:eastAsia="Cambria" w:hAnsi="Cambria"/>
          <w:sz w:val="28"/>
          <w:szCs w:val="28"/>
          <w:rtl w:val="0"/>
        </w:rPr>
        <w:t xml:space="preserve">BY PARAG KHANNA</w:t>
      </w:r>
    </w:p>
    <w:p w:rsidR="00000000" w:rsidDel="00000000" w:rsidP="00000000" w:rsidRDefault="00000000" w:rsidRPr="00000000" w14:paraId="00000006">
      <w:pPr>
        <w:rPr>
          <w:rFonts w:ascii="Cambria" w:cs="Cambria" w:eastAsia="Cambria" w:hAnsi="Cambria"/>
          <w:sz w:val="28"/>
          <w:szCs w:val="28"/>
        </w:rPr>
      </w:pPr>
      <w:r w:rsidDel="00000000" w:rsidR="00000000" w:rsidRPr="00000000">
        <w:rPr>
          <w:rtl w:val="0"/>
        </w:rPr>
      </w:r>
    </w:p>
    <w:p w:rsidR="00000000" w:rsidDel="00000000" w:rsidP="00000000" w:rsidRDefault="00000000" w:rsidRPr="00000000" w14:paraId="00000007">
      <w:pPr>
        <w:rPr>
          <w:rFonts w:ascii="Cambria" w:cs="Cambria" w:eastAsia="Cambria" w:hAnsi="Cambria"/>
          <w:sz w:val="28"/>
          <w:szCs w:val="28"/>
        </w:rPr>
      </w:pPr>
      <w:r w:rsidDel="00000000" w:rsidR="00000000" w:rsidRPr="00000000">
        <w:rPr>
          <w:rFonts w:ascii="Cambria" w:cs="Cambria" w:eastAsia="Cambria" w:hAnsi="Cambria"/>
          <w:sz w:val="28"/>
          <w:szCs w:val="28"/>
          <w:rtl w:val="0"/>
        </w:rPr>
        <w:t xml:space="preserve">At first glance, the story of Accenture reads like the model of the American dream. One of the world’s biggest consulting companies, which commands tens of billions of dollars in annual revenues, was born in the 1950s as a small division of accounting firm Arthur Andersen. Its first major project was advising General Electric to install a computer at a Kentucky facility in order to automate payment processing. Several decades of growth followed, and by 1989, the division was successful enough to become its own organization: Andersen Consulting.</w:t>
      </w:r>
    </w:p>
    <w:p w:rsidR="00000000" w:rsidDel="00000000" w:rsidP="00000000" w:rsidRDefault="00000000" w:rsidRPr="00000000" w14:paraId="00000008">
      <w:pPr>
        <w:rPr>
          <w:rFonts w:ascii="Cambria" w:cs="Cambria" w:eastAsia="Cambria" w:hAnsi="Cambria"/>
          <w:sz w:val="28"/>
          <w:szCs w:val="28"/>
        </w:rPr>
      </w:pPr>
      <w:r w:rsidDel="00000000" w:rsidR="00000000" w:rsidRPr="00000000">
        <w:rPr>
          <w:rtl w:val="0"/>
        </w:rPr>
      </w:r>
    </w:p>
    <w:p w:rsidR="00000000" w:rsidDel="00000000" w:rsidP="00000000" w:rsidRDefault="00000000" w:rsidRPr="00000000" w14:paraId="00000009">
      <w:pPr>
        <w:rPr>
          <w:rFonts w:ascii="Cambria" w:cs="Cambria" w:eastAsia="Cambria" w:hAnsi="Cambria"/>
          <w:sz w:val="28"/>
          <w:szCs w:val="28"/>
        </w:rPr>
      </w:pPr>
      <w:r w:rsidDel="00000000" w:rsidR="00000000" w:rsidRPr="00000000">
        <w:rPr>
          <w:rFonts w:ascii="Cambria" w:cs="Cambria" w:eastAsia="Cambria" w:hAnsi="Cambria"/>
          <w:sz w:val="28"/>
          <w:szCs w:val="28"/>
          <w:rtl w:val="0"/>
        </w:rPr>
        <w:t xml:space="preserve">Yet a deeper look at the business shows its ascent veering off the American track. This wasn’t because it opened foreign offices in Mexico, Japan, and other countries; international expansion is standard for many U.S. companies. Rather, Andersen Consulting saw benefits—fewer taxes, cheaper labor, less onerous regulations — beyond borders and restructured internally to take advantage of them. By 2001, when it went public [offered stock for sale to the general public] after adopting the name Accenture, it had morphed into a network of franchises loosely coordinated out of a Swiss holding company. It incorporated in Bermuda and stayed there until 2009, when it redomiciled [moved its “home”] in Ireland, another low-tax jurisdiction. Today, Accenture’s roughly 373,000 employees are scattered across more than 200 cities in 55 countries. Consultants parachute into locations for commissioned work but often report to offices in regional hubs, such as Prague and Dubai, with lower tax rates. To avoid pesky residency status, the human resources department ensures that employees don’t spend too much time at their project sites.</w:t>
      </w:r>
    </w:p>
    <w:p w:rsidR="00000000" w:rsidDel="00000000" w:rsidP="00000000" w:rsidRDefault="00000000" w:rsidRPr="00000000" w14:paraId="0000000A">
      <w:pPr>
        <w:rPr>
          <w:rFonts w:ascii="Cambria" w:cs="Cambria" w:eastAsia="Cambria" w:hAnsi="Cambria"/>
          <w:sz w:val="28"/>
          <w:szCs w:val="28"/>
        </w:rPr>
      </w:pPr>
      <w:r w:rsidDel="00000000" w:rsidR="00000000" w:rsidRPr="00000000">
        <w:rPr>
          <w:rtl w:val="0"/>
        </w:rPr>
      </w:r>
    </w:p>
    <w:p w:rsidR="00000000" w:rsidDel="00000000" w:rsidP="00000000" w:rsidRDefault="00000000" w:rsidRPr="00000000" w14:paraId="0000000B">
      <w:pPr>
        <w:rPr>
          <w:rFonts w:ascii="Cambria" w:cs="Cambria" w:eastAsia="Cambria" w:hAnsi="Cambria"/>
          <w:sz w:val="28"/>
          <w:szCs w:val="28"/>
        </w:rPr>
      </w:pPr>
      <w:r w:rsidDel="00000000" w:rsidR="00000000" w:rsidRPr="00000000">
        <w:rPr>
          <w:rFonts w:ascii="Cambria" w:cs="Cambria" w:eastAsia="Cambria" w:hAnsi="Cambria"/>
          <w:sz w:val="28"/>
          <w:szCs w:val="28"/>
          <w:rtl w:val="0"/>
        </w:rPr>
        <w:t xml:space="preserve">Welcome to the age of metanationals: companies that, like Accenture, are effectively stateless. When business and strategy experts Yves Doz, José Santos, and Peter Williamson coined the term in a 2001 book, metanationals were an emerging phenomenon, a divergence from the tradition of corporations taking pride in their national roots. (In the 1950s, General Motors President Charles Wilson famously said, “What was good for our country was good for General Motors, and vice versa.”) Today, the severing of state lifelines has become business as usual.</w:t>
      </w:r>
    </w:p>
    <w:p w:rsidR="00000000" w:rsidDel="00000000" w:rsidP="00000000" w:rsidRDefault="00000000" w:rsidRPr="00000000" w14:paraId="0000000C">
      <w:pPr>
        <w:rPr>
          <w:rFonts w:ascii="Cambria" w:cs="Cambria" w:eastAsia="Cambria" w:hAnsi="Cambria"/>
          <w:sz w:val="28"/>
          <w:szCs w:val="28"/>
        </w:rPr>
      </w:pPr>
      <w:r w:rsidDel="00000000" w:rsidR="00000000" w:rsidRPr="00000000">
        <w:rPr>
          <w:rtl w:val="0"/>
        </w:rPr>
      </w:r>
    </w:p>
    <w:p w:rsidR="00000000" w:rsidDel="00000000" w:rsidP="00000000" w:rsidRDefault="00000000" w:rsidRPr="00000000" w14:paraId="0000000D">
      <w:pPr>
        <w:rPr>
          <w:rFonts w:ascii="Cambria" w:cs="Cambria" w:eastAsia="Cambria" w:hAnsi="Cambria"/>
          <w:sz w:val="28"/>
          <w:szCs w:val="28"/>
        </w:rPr>
      </w:pPr>
      <w:r w:rsidDel="00000000" w:rsidR="00000000" w:rsidRPr="00000000">
        <w:rPr>
          <w:rFonts w:ascii="Cambria" w:cs="Cambria" w:eastAsia="Cambria" w:hAnsi="Cambria"/>
          <w:sz w:val="28"/>
          <w:szCs w:val="28"/>
          <w:rtl w:val="0"/>
        </w:rPr>
        <w:t xml:space="preserve">ExxonMobil, Unilever, BlackRock, HSBC, DHL, Visa—these companies all choose locations for personnel, factories, executive suites, or bank accounts based on where regulations are friendly, resources abundant, and connectivity seamless. Clever metanationals often have legal domicile in one country, corporate management in another, financial assets in a third, and administrative staff spread over several more. Some of the largest American-born firms — GE, IBM, Microsoft, to name a few — collectively are holding trillions of dollars tax-free offshore by having revenues from overseas markets paid to holding companies incorporated in Switzerland, Luxembourg, the Cayman Islands, or Singapore. In a nice illustration of the tension this trend creates with policymakers, some observers have dubbed the money “stateless income,” while U.S. President Barack Obama has called the companies hoarding it America’s “corporate deserters.”</w:t>
      </w:r>
    </w:p>
    <w:p w:rsidR="00000000" w:rsidDel="00000000" w:rsidP="00000000" w:rsidRDefault="00000000" w:rsidRPr="00000000" w14:paraId="0000000E">
      <w:pPr>
        <w:rPr>
          <w:rFonts w:ascii="Cambria" w:cs="Cambria" w:eastAsia="Cambria" w:hAnsi="Cambria"/>
          <w:sz w:val="28"/>
          <w:szCs w:val="28"/>
        </w:rPr>
      </w:pPr>
      <w:r w:rsidDel="00000000" w:rsidR="00000000" w:rsidRPr="00000000">
        <w:rPr>
          <w:rtl w:val="0"/>
        </w:rPr>
      </w:r>
    </w:p>
    <w:p w:rsidR="00000000" w:rsidDel="00000000" w:rsidP="00000000" w:rsidRDefault="00000000" w:rsidRPr="00000000" w14:paraId="0000000F">
      <w:pPr>
        <w:rPr>
          <w:rFonts w:ascii="Cambria" w:cs="Cambria" w:eastAsia="Cambria" w:hAnsi="Cambria"/>
          <w:sz w:val="28"/>
          <w:szCs w:val="28"/>
        </w:rPr>
      </w:pPr>
      <w:r w:rsidDel="00000000" w:rsidR="00000000" w:rsidRPr="00000000">
        <w:rPr>
          <w:rFonts w:ascii="Cambria" w:cs="Cambria" w:eastAsia="Cambria" w:hAnsi="Cambria"/>
          <w:sz w:val="28"/>
          <w:szCs w:val="28"/>
          <w:rtl w:val="0"/>
        </w:rPr>
        <w:t xml:space="preserve">It isn’t surprising, of course, when companies find new ways to act in their own interest; it’s surprising when they don’t. The rise of metanationals, however, isn’t just about new ways of making money. It also unsettles the definition of “global superpower.”</w:t>
      </w:r>
    </w:p>
    <w:p w:rsidR="00000000" w:rsidDel="00000000" w:rsidP="00000000" w:rsidRDefault="00000000" w:rsidRPr="00000000" w14:paraId="00000010">
      <w:pPr>
        <w:rPr>
          <w:rFonts w:ascii="Cambria" w:cs="Cambria" w:eastAsia="Cambria" w:hAnsi="Cambria"/>
          <w:sz w:val="28"/>
          <w:szCs w:val="28"/>
        </w:rPr>
      </w:pPr>
      <w:r w:rsidDel="00000000" w:rsidR="00000000" w:rsidRPr="00000000">
        <w:rPr>
          <w:rtl w:val="0"/>
        </w:rPr>
      </w:r>
    </w:p>
    <w:p w:rsidR="00000000" w:rsidDel="00000000" w:rsidP="00000000" w:rsidRDefault="00000000" w:rsidRPr="00000000" w14:paraId="00000011">
      <w:pPr>
        <w:rPr>
          <w:rFonts w:ascii="Cambria" w:cs="Cambria" w:eastAsia="Cambria" w:hAnsi="Cambria"/>
          <w:sz w:val="28"/>
          <w:szCs w:val="28"/>
        </w:rPr>
      </w:pPr>
      <w:r w:rsidDel="00000000" w:rsidR="00000000" w:rsidRPr="00000000">
        <w:rPr>
          <w:rFonts w:ascii="Cambria" w:cs="Cambria" w:eastAsia="Cambria" w:hAnsi="Cambria"/>
          <w:sz w:val="28"/>
          <w:szCs w:val="28"/>
          <w:rtl w:val="0"/>
        </w:rPr>
        <w:t xml:space="preserve">The debate over that term usually focuses on states—that is, can any country compete with America’s status and influence? In June 2015, the Pew Research Center surveyed people in 40 countries and found that a median of 48 percent thought China had or would surpass the United States as a superpower, while just 35 percent said it never would. Pew, however, might have considered widening its scope of research — for corporations are likely to overtake all states in terms of clout.</w:t>
      </w:r>
    </w:p>
    <w:p w:rsidR="00000000" w:rsidDel="00000000" w:rsidP="00000000" w:rsidRDefault="00000000" w:rsidRPr="00000000" w14:paraId="00000012">
      <w:pPr>
        <w:rPr>
          <w:rFonts w:ascii="Cambria" w:cs="Cambria" w:eastAsia="Cambria" w:hAnsi="Cambria"/>
          <w:sz w:val="28"/>
          <w:szCs w:val="28"/>
        </w:rPr>
      </w:pPr>
      <w:r w:rsidDel="00000000" w:rsidR="00000000" w:rsidRPr="00000000">
        <w:rPr>
          <w:rtl w:val="0"/>
        </w:rPr>
      </w:r>
    </w:p>
    <w:p w:rsidR="00000000" w:rsidDel="00000000" w:rsidP="00000000" w:rsidRDefault="00000000" w:rsidRPr="00000000" w14:paraId="00000013">
      <w:pPr>
        <w:rPr>
          <w:rFonts w:ascii="Cambria" w:cs="Cambria" w:eastAsia="Cambria" w:hAnsi="Cambria"/>
          <w:sz w:val="28"/>
          <w:szCs w:val="28"/>
        </w:rPr>
      </w:pPr>
      <w:r w:rsidDel="00000000" w:rsidR="00000000" w:rsidRPr="00000000">
        <w:rPr>
          <w:rFonts w:ascii="Cambria" w:cs="Cambria" w:eastAsia="Cambria" w:hAnsi="Cambria"/>
          <w:sz w:val="28"/>
          <w:szCs w:val="28"/>
          <w:rtl w:val="0"/>
        </w:rPr>
        <w:t xml:space="preserve">Already, the cash that Apple has on hand exceeds the GDPs of two-thirds of the world’s countries. Firms are also setting the pace with respect to government regulators in a game of cat-and-mouse [as governments change laws, corporations adapt and change as well]. After the 2008 financial crisis, the U.S. Congress passed the Dodd-Frank Act to discourage banks from growing excessively big and catastrophe-prone. Yet while the law crushed some smaller financial institutions, the largest banks — with operations spread across many countries — actually became even larger, amassing more capital and lending less. Today, the 10 biggest banks still control almost 50 percent of assets under management worldwide. Meanwhile, some European Union officials, including Competition Commissioner Margrethe Vestager, are pushing for a common tax-base policy among member states to prevent corporations from taking advantage of preferential rates. But if that happened (and it’s a very big if), firms would just look beyond the continent for metanational opportunities.</w:t>
      </w:r>
    </w:p>
    <w:p w:rsidR="00000000" w:rsidDel="00000000" w:rsidP="00000000" w:rsidRDefault="00000000" w:rsidRPr="00000000" w14:paraId="00000014">
      <w:pPr>
        <w:rPr>
          <w:rFonts w:ascii="Cambria" w:cs="Cambria" w:eastAsia="Cambria" w:hAnsi="Cambria"/>
          <w:sz w:val="28"/>
          <w:szCs w:val="28"/>
        </w:rPr>
      </w:pPr>
      <w:r w:rsidDel="00000000" w:rsidR="00000000" w:rsidRPr="00000000">
        <w:rPr>
          <w:rtl w:val="0"/>
        </w:rPr>
      </w:r>
    </w:p>
    <w:p w:rsidR="00000000" w:rsidDel="00000000" w:rsidP="00000000" w:rsidRDefault="00000000" w:rsidRPr="00000000" w14:paraId="00000015">
      <w:pPr>
        <w:rPr>
          <w:rFonts w:ascii="Cambria" w:cs="Cambria" w:eastAsia="Cambria" w:hAnsi="Cambria"/>
          <w:sz w:val="28"/>
          <w:szCs w:val="28"/>
        </w:rPr>
      </w:pPr>
      <w:r w:rsidDel="00000000" w:rsidR="00000000" w:rsidRPr="00000000">
        <w:rPr>
          <w:rFonts w:ascii="Cambria" w:cs="Cambria" w:eastAsia="Cambria" w:hAnsi="Cambria"/>
          <w:sz w:val="28"/>
          <w:szCs w:val="28"/>
          <w:rtl w:val="0"/>
        </w:rPr>
        <w:t xml:space="preserve">The world is entering an era in which the most powerful law is not that of sovereignty but that of supply and demand. As scholar Gary Gereffi of Duke University has argued, denationalization now involves companies assembling the capacities of various locations into their global value chains. This has birthed success for companies, such as commodities trader Glencore and logistics firm Archer Daniels Midland, that don’t focus primarily on manufacturing goods, but are experts at getting the physical ingredients of what metanationals make wherever they’re needed.</w:t>
      </w:r>
    </w:p>
    <w:p w:rsidR="00000000" w:rsidDel="00000000" w:rsidP="00000000" w:rsidRDefault="00000000" w:rsidRPr="00000000" w14:paraId="00000016">
      <w:pPr>
        <w:rPr>
          <w:rFonts w:ascii="Cambria" w:cs="Cambria" w:eastAsia="Cambria" w:hAnsi="Cambria"/>
          <w:sz w:val="28"/>
          <w:szCs w:val="28"/>
        </w:rPr>
      </w:pPr>
      <w:r w:rsidDel="00000000" w:rsidR="00000000" w:rsidRPr="00000000">
        <w:rPr>
          <w:rtl w:val="0"/>
        </w:rPr>
      </w:r>
    </w:p>
    <w:p w:rsidR="00000000" w:rsidDel="00000000" w:rsidP="00000000" w:rsidRDefault="00000000" w:rsidRPr="00000000" w14:paraId="00000017">
      <w:pPr>
        <w:rPr>
          <w:rFonts w:ascii="Cambria" w:cs="Cambria" w:eastAsia="Cambria" w:hAnsi="Cambria"/>
          <w:sz w:val="28"/>
          <w:szCs w:val="28"/>
        </w:rPr>
      </w:pPr>
      <w:r w:rsidDel="00000000" w:rsidR="00000000" w:rsidRPr="00000000">
        <w:rPr>
          <w:rFonts w:ascii="Cambria" w:cs="Cambria" w:eastAsia="Cambria" w:hAnsi="Cambria"/>
          <w:sz w:val="28"/>
          <w:szCs w:val="28"/>
          <w:rtl w:val="0"/>
        </w:rPr>
        <w:t xml:space="preserve">Much as the notion of taxing a metanational based on its headquarters’ location now seems painfully out of date. If stateless companies live by one rule, however, it’s that there’s always another place to go where profits are higher, oversight friendlier, and opportunities more plentiful. This belief has helped nimble, mobile, and smart corporations outgrow their original masters, including the world’s reigning superpower. </w:t>
      </w:r>
    </w:p>
    <w:p w:rsidR="00000000" w:rsidDel="00000000" w:rsidP="00000000" w:rsidRDefault="00000000" w:rsidRPr="00000000" w14:paraId="00000018">
      <w:pPr>
        <w:rPr>
          <w:rFonts w:ascii="Cambria" w:cs="Cambria" w:eastAsia="Cambria" w:hAnsi="Cambria"/>
          <w:sz w:val="28"/>
          <w:szCs w:val="28"/>
        </w:rPr>
      </w:pPr>
      <w:r w:rsidDel="00000000" w:rsidR="00000000" w:rsidRPr="00000000">
        <w:rPr>
          <w:rtl w:val="0"/>
        </w:rPr>
      </w:r>
    </w:p>
    <w:p w:rsidR="00000000" w:rsidDel="00000000" w:rsidP="00000000" w:rsidRDefault="00000000" w:rsidRPr="00000000" w14:paraId="00000019">
      <w:pPr>
        <w:rPr>
          <w:rFonts w:ascii="Cambria" w:cs="Cambria" w:eastAsia="Cambria" w:hAnsi="Cambria"/>
          <w:b w:val="1"/>
          <w:sz w:val="28"/>
          <w:szCs w:val="28"/>
        </w:rPr>
      </w:pPr>
      <w:r w:rsidDel="00000000" w:rsidR="00000000" w:rsidRPr="00000000">
        <w:rPr>
          <w:rFonts w:ascii="Cambria" w:cs="Cambria" w:eastAsia="Cambria" w:hAnsi="Cambria"/>
          <w:b w:val="1"/>
          <w:sz w:val="28"/>
          <w:szCs w:val="28"/>
          <w:rtl w:val="0"/>
        </w:rPr>
        <w:t xml:space="preserve">Respond: </w:t>
      </w:r>
    </w:p>
    <w:p w:rsidR="00000000" w:rsidDel="00000000" w:rsidP="00000000" w:rsidRDefault="00000000" w:rsidRPr="00000000" w14:paraId="0000001A">
      <w:pPr>
        <w:rPr>
          <w:rFonts w:ascii="Cambria" w:cs="Cambria" w:eastAsia="Cambria" w:hAnsi="Cambria"/>
          <w:b w:val="1"/>
          <w:sz w:val="28"/>
          <w:szCs w:val="28"/>
        </w:rPr>
      </w:pPr>
      <w:r w:rsidDel="00000000" w:rsidR="00000000" w:rsidRPr="00000000">
        <w:rPr>
          <w:rtl w:val="0"/>
        </w:rPr>
      </w:r>
    </w:p>
    <w:p w:rsidR="00000000" w:rsidDel="00000000" w:rsidP="00000000" w:rsidRDefault="00000000" w:rsidRPr="00000000" w14:paraId="0000001B">
      <w:pPr>
        <w:rPr>
          <w:rFonts w:ascii="Cambria" w:cs="Cambria" w:eastAsia="Cambria" w:hAnsi="Cambria"/>
          <w:sz w:val="28"/>
          <w:szCs w:val="28"/>
        </w:rPr>
      </w:pPr>
      <w:r w:rsidDel="00000000" w:rsidR="00000000" w:rsidRPr="00000000">
        <w:rPr>
          <w:rFonts w:ascii="Cambria" w:cs="Cambria" w:eastAsia="Cambria" w:hAnsi="Cambria"/>
          <w:sz w:val="28"/>
          <w:szCs w:val="28"/>
          <w:rtl w:val="0"/>
        </w:rPr>
        <w:t xml:space="preserve">Identify the ways in which MNCs: </w:t>
      </w:r>
    </w:p>
    <w:p w:rsidR="00000000" w:rsidDel="00000000" w:rsidP="00000000" w:rsidRDefault="00000000" w:rsidRPr="00000000" w14:paraId="0000001C">
      <w:pPr>
        <w:numPr>
          <w:ilvl w:val="0"/>
          <w:numId w:val="1"/>
        </w:numPr>
        <w:ind w:left="720" w:hanging="360"/>
        <w:rPr>
          <w:rFonts w:ascii="Cambria" w:cs="Cambria" w:eastAsia="Cambria" w:hAnsi="Cambria"/>
          <w:sz w:val="28"/>
          <w:szCs w:val="28"/>
          <w:u w:val="none"/>
        </w:rPr>
      </w:pPr>
      <w:r w:rsidDel="00000000" w:rsidR="00000000" w:rsidRPr="00000000">
        <w:rPr>
          <w:rFonts w:ascii="Cambria" w:cs="Cambria" w:eastAsia="Cambria" w:hAnsi="Cambria"/>
          <w:sz w:val="28"/>
          <w:szCs w:val="28"/>
          <w:rtl w:val="0"/>
        </w:rPr>
        <w:t xml:space="preserve">Accumulate and exert power</w:t>
      </w:r>
    </w:p>
    <w:p w:rsidR="00000000" w:rsidDel="00000000" w:rsidP="00000000" w:rsidRDefault="00000000" w:rsidRPr="00000000" w14:paraId="0000001D">
      <w:pPr>
        <w:numPr>
          <w:ilvl w:val="0"/>
          <w:numId w:val="1"/>
        </w:numPr>
        <w:ind w:left="720" w:hanging="360"/>
        <w:rPr>
          <w:rFonts w:ascii="Cambria" w:cs="Cambria" w:eastAsia="Cambria" w:hAnsi="Cambria"/>
          <w:sz w:val="28"/>
          <w:szCs w:val="28"/>
          <w:u w:val="none"/>
        </w:rPr>
      </w:pPr>
      <w:r w:rsidDel="00000000" w:rsidR="00000000" w:rsidRPr="00000000">
        <w:rPr>
          <w:rFonts w:ascii="Cambria" w:cs="Cambria" w:eastAsia="Cambria" w:hAnsi="Cambria"/>
          <w:sz w:val="28"/>
          <w:szCs w:val="28"/>
          <w:rtl w:val="0"/>
        </w:rPr>
        <w:t xml:space="preserve">Use the global nature of their businesses to serve their own self interests.</w:t>
      </w:r>
    </w:p>
    <w:p w:rsidR="00000000" w:rsidDel="00000000" w:rsidP="00000000" w:rsidRDefault="00000000" w:rsidRPr="00000000" w14:paraId="0000001E">
      <w:pPr>
        <w:rPr>
          <w:rFonts w:ascii="Cambria" w:cs="Cambria" w:eastAsia="Cambria" w:hAnsi="Cambria"/>
          <w:sz w:val="28"/>
          <w:szCs w:val="28"/>
        </w:rPr>
      </w:pPr>
      <w:r w:rsidDel="00000000" w:rsidR="00000000" w:rsidRPr="00000000">
        <w:rPr>
          <w:rtl w:val="0"/>
        </w:rPr>
      </w:r>
    </w:p>
    <w:tbl>
      <w:tblPr>
        <w:tblStyle w:val="Table1"/>
        <w:tblW w:w="9360.0" w:type="dxa"/>
        <w:jc w:val="left"/>
        <w:tblInd w:w="100.0" w:type="pct"/>
        <w:tblBorders>
          <w:top w:color="000000" w:space="0" w:sz="8" w:val="single"/>
          <w:left w:color="000000" w:space="0" w:sz="8" w:val="single"/>
          <w:bottom w:color="000000" w:space="0" w:sz="8" w:val="single"/>
          <w:right w:color="000000" w:space="0" w:sz="8" w:val="single"/>
          <w:insideH w:color="000000" w:space="0" w:sz="8" w:val="single"/>
          <w:insideV w:color="000000" w:space="0" w:sz="8" w:val="single"/>
        </w:tblBorders>
        <w:tblLayout w:type="fixed"/>
        <w:tblLook w:val="0600"/>
      </w:tblPr>
      <w:tblGrid>
        <w:gridCol w:w="9360"/>
        <w:tblGridChange w:id="0">
          <w:tblGrid>
            <w:gridCol w:w="9360"/>
          </w:tblGrid>
        </w:tblGridChange>
      </w:tblGrid>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01F">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mbria" w:cs="Cambria" w:eastAsia="Cambria" w:hAnsi="Cambria"/>
                <w:sz w:val="28"/>
                <w:szCs w:val="28"/>
              </w:rPr>
            </w:pPr>
            <w:r w:rsidDel="00000000" w:rsidR="00000000" w:rsidRPr="00000000">
              <w:rPr>
                <w:rtl w:val="0"/>
              </w:rPr>
            </w:r>
          </w:p>
        </w:tc>
      </w:tr>
    </w:tbl>
    <w:p w:rsidR="00000000" w:rsidDel="00000000" w:rsidP="00000000" w:rsidRDefault="00000000" w:rsidRPr="00000000" w14:paraId="00000020">
      <w:pPr>
        <w:rPr>
          <w:rFonts w:ascii="Cambria" w:cs="Cambria" w:eastAsia="Cambria" w:hAnsi="Cambria"/>
          <w:sz w:val="28"/>
          <w:szCs w:val="28"/>
        </w:rPr>
      </w:pPr>
      <w:r w:rsidDel="00000000" w:rsidR="00000000" w:rsidRPr="00000000">
        <w:rPr>
          <w:rtl w:val="0"/>
        </w:rPr>
      </w:r>
    </w:p>
    <w:sectPr>
      <w:headerReference r:id="rId7" w:type="default"/>
      <w:pgSz w:h="15840" w:w="12240" w:orient="portrait"/>
      <w:pgMar w:bottom="1440" w:top="1440" w:left="1440" w:right="1440" w:header="72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font w:name="Arial"/>
  <w:font w:name="Cambria"/>
</w:fonts>
</file>

<file path=word/footnotes.xml><?xml version="1.0" encoding="utf-8"?>
<w:footnot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footnote w:id="0">
    <w:p w:rsidR="00000000" w:rsidDel="00000000" w:rsidP="00000000" w:rsidRDefault="00000000" w:rsidRPr="00000000" w14:paraId="00000022">
      <w:pPr>
        <w:spacing w:line="240" w:lineRule="auto"/>
        <w:rPr>
          <w:sz w:val="20"/>
          <w:szCs w:val="20"/>
        </w:rPr>
      </w:pPr>
      <w:r w:rsidDel="00000000" w:rsidR="00000000" w:rsidRPr="00000000">
        <w:rPr>
          <w:rStyle w:val="FootnoteReference"/>
          <w:vertAlign w:val="superscript"/>
        </w:rPr>
        <w:footnoteRef/>
      </w:r>
      <w:r w:rsidDel="00000000" w:rsidR="00000000" w:rsidRPr="00000000">
        <w:rPr>
          <w:sz w:val="20"/>
          <w:szCs w:val="20"/>
          <w:rtl w:val="0"/>
        </w:rPr>
        <w:t xml:space="preserve"> Adapted from: https://foreignpolicy.com/2016/03/15/these-25-companies-are-more-powerful-than-many-countries-multinational-corporate-wealth-power/</w:t>
      </w:r>
    </w:p>
  </w:footnote>
</w:footnotes>
</file>

<file path=word/header1.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p w:rsidR="00000000" w:rsidDel="00000000" w:rsidP="00000000" w:rsidRDefault="00000000" w:rsidRPr="00000000" w14:paraId="00000021">
    <w:pPr>
      <w:rPr/>
    </w:pPr>
    <w:r w:rsidDel="00000000" w:rsidR="00000000" w:rsidRPr="00000000">
      <w:rPr>
        <w:rtl w:val="0"/>
      </w:rPr>
    </w:r>
  </w:p>
</w:hdr>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abstractNum w:abstractNumId="1">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num w:numId="1">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ocDefaults>
    <w:rPrDefault>
      <w:rPr>
        <w:rFonts w:ascii="Arial" w:cs="Arial" w:eastAsia="Arial" w:hAnsi="Arial"/>
        <w:sz w:val="22"/>
        <w:szCs w:val="22"/>
        <w:lang w:val="en"/>
      </w:rPr>
    </w:rPrDefault>
    <w:pPrDefault>
      <w:pPr>
        <w:spacing w:line="276" w:lineRule="auto"/>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spacing w:after="120" w:before="400" w:lineRule="auto"/>
    </w:pPr>
    <w:rPr>
      <w:sz w:val="40"/>
      <w:szCs w:val="40"/>
    </w:rPr>
  </w:style>
  <w:style w:type="paragraph" w:styleId="Heading2">
    <w:name w:val="heading 2"/>
    <w:basedOn w:val="Normal"/>
    <w:next w:val="Normal"/>
    <w:pPr>
      <w:keepNext w:val="1"/>
      <w:keepLines w:val="1"/>
      <w:spacing w:after="120" w:before="360" w:lineRule="auto"/>
    </w:pPr>
    <w:rPr>
      <w:b w:val="0"/>
      <w:sz w:val="32"/>
      <w:szCs w:val="32"/>
    </w:rPr>
  </w:style>
  <w:style w:type="paragraph" w:styleId="Heading3">
    <w:name w:val="heading 3"/>
    <w:basedOn w:val="Normal"/>
    <w:next w:val="Normal"/>
    <w:pPr>
      <w:keepNext w:val="1"/>
      <w:keepLines w:val="1"/>
      <w:spacing w:after="80" w:before="320" w:lineRule="auto"/>
    </w:pPr>
    <w:rPr>
      <w:b w:val="0"/>
      <w:color w:val="434343"/>
      <w:sz w:val="28"/>
      <w:szCs w:val="28"/>
    </w:rPr>
  </w:style>
  <w:style w:type="paragraph" w:styleId="Heading4">
    <w:name w:val="heading 4"/>
    <w:basedOn w:val="Normal"/>
    <w:next w:val="Normal"/>
    <w:pPr>
      <w:keepNext w:val="1"/>
      <w:keepLines w:val="1"/>
      <w:spacing w:after="80" w:before="280" w:lineRule="auto"/>
    </w:pPr>
    <w:rPr>
      <w:color w:val="666666"/>
      <w:sz w:val="24"/>
      <w:szCs w:val="24"/>
    </w:rPr>
  </w:style>
  <w:style w:type="paragraph" w:styleId="Heading5">
    <w:name w:val="heading 5"/>
    <w:basedOn w:val="Normal"/>
    <w:next w:val="Normal"/>
    <w:pPr>
      <w:keepNext w:val="1"/>
      <w:keepLines w:val="1"/>
      <w:spacing w:after="80" w:before="240" w:lineRule="auto"/>
    </w:pPr>
    <w:rPr>
      <w:color w:val="666666"/>
      <w:sz w:val="22"/>
      <w:szCs w:val="22"/>
    </w:rPr>
  </w:style>
  <w:style w:type="paragraph" w:styleId="Heading6">
    <w:name w:val="heading 6"/>
    <w:basedOn w:val="Normal"/>
    <w:next w:val="Normal"/>
    <w:pPr>
      <w:keepNext w:val="1"/>
      <w:keepLines w:val="1"/>
      <w:spacing w:after="80" w:before="240" w:lineRule="auto"/>
    </w:pPr>
    <w:rPr>
      <w:i w:val="1"/>
      <w:color w:val="666666"/>
      <w:sz w:val="22"/>
      <w:szCs w:val="22"/>
    </w:rPr>
  </w:style>
  <w:style w:type="paragraph" w:styleId="Title">
    <w:name w:val="Title"/>
    <w:basedOn w:val="Normal"/>
    <w:next w:val="Normal"/>
    <w:pPr>
      <w:keepNext w:val="1"/>
      <w:keepLines w:val="1"/>
      <w:spacing w:after="60" w:before="0" w:lineRule="auto"/>
    </w:pPr>
    <w:rPr>
      <w:sz w:val="52"/>
      <w:szCs w:val="52"/>
    </w:rPr>
  </w:style>
  <w:style w:type="paragraph" w:styleId="Subtitle">
    <w:name w:val="Subtitle"/>
    <w:basedOn w:val="Normal"/>
    <w:next w:val="Normal"/>
    <w:pPr>
      <w:keepNext w:val="1"/>
      <w:keepLines w:val="1"/>
      <w:spacing w:after="320" w:before="0" w:lineRule="auto"/>
    </w:pPr>
    <w:rPr>
      <w:rFonts w:ascii="Arial" w:cs="Arial" w:eastAsia="Arial" w:hAnsi="Arial"/>
      <w:i w:val="0"/>
      <w:color w:val="666666"/>
      <w:sz w:val="30"/>
      <w:szCs w:val="30"/>
    </w:rPr>
  </w:style>
  <w:style w:type="table" w:styleId="Table1">
    <w:basedOn w:val="TableNormal"/>
    <w:tblPr>
      <w:tblStyleRowBandSize w:val="1"/>
      <w:tblStyleColBandSize w:val="1"/>
      <w:tblCellMar>
        <w:top w:w="100.0" w:type="dxa"/>
        <w:left w:w="100.0" w:type="dxa"/>
        <w:bottom w:w="100.0" w:type="dxa"/>
        <w:right w:w="100.0" w:type="dxa"/>
      </w:tblCellMar>
    </w:tbl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footnotes" Target="footnotes.xml"/><Relationship Id="rId5" Type="http://schemas.openxmlformats.org/officeDocument/2006/relationships/numbering" Target="numbering.xml"/><Relationship Id="rId6" Type="http://schemas.openxmlformats.org/officeDocument/2006/relationships/styles" Target="styles.xml"/><Relationship Id="rId7" Type="http://schemas.openxmlformats.org/officeDocument/2006/relationships/header" Target="head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