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76" w:lineRule="auto"/>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SL Writing Introduction:</w:t>
      </w:r>
    </w:p>
    <w:p w:rsidR="00000000" w:rsidDel="00000000" w:rsidP="00000000" w:rsidRDefault="00000000" w:rsidRPr="00000000" w14:paraId="00000002">
      <w:pPr>
        <w:spacing w:line="276" w:lineRule="auto"/>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03">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For the Global Politics SL final assignment, you will do your own research and a 1,000-1,200 word write up on a topic of your choosing.  You should discuss the basics of the chosen case study along with the connections to the </w:t>
      </w:r>
      <w:hyperlink r:id="rId6">
        <w:r w:rsidDel="00000000" w:rsidR="00000000" w:rsidRPr="00000000">
          <w:rPr>
            <w:rFonts w:ascii="Cambria" w:cs="Cambria" w:eastAsia="Cambria" w:hAnsi="Cambria"/>
            <w:b w:val="1"/>
            <w:color w:val="0563c1"/>
            <w:sz w:val="28"/>
            <w:szCs w:val="28"/>
            <w:u w:val="single"/>
            <w:rtl w:val="0"/>
          </w:rPr>
          <w:t xml:space="preserve">core concepts</w:t>
        </w:r>
      </w:hyperlink>
      <w:r w:rsidDel="00000000" w:rsidR="00000000" w:rsidRPr="00000000">
        <w:rPr>
          <w:rFonts w:ascii="Cambria" w:cs="Cambria" w:eastAsia="Cambria" w:hAnsi="Cambria"/>
          <w:b w:val="1"/>
          <w:sz w:val="28"/>
          <w:szCs w:val="28"/>
          <w:rtl w:val="0"/>
        </w:rPr>
        <w:t xml:space="preserve"> </w:t>
      </w:r>
      <w:r w:rsidDel="00000000" w:rsidR="00000000" w:rsidRPr="00000000">
        <w:rPr>
          <w:rFonts w:ascii="Cambria" w:cs="Cambria" w:eastAsia="Cambria" w:hAnsi="Cambria"/>
          <w:sz w:val="28"/>
          <w:szCs w:val="28"/>
          <w:rtl w:val="0"/>
        </w:rPr>
        <w:t xml:space="preserve">from the course. Try to focus on one concept in depth though you can mention more. Ultimately, students should come to larger, general conclusions about the chosen concept from the course. </w:t>
      </w:r>
    </w:p>
    <w:p w:rsidR="00000000" w:rsidDel="00000000" w:rsidP="00000000" w:rsidRDefault="00000000" w:rsidRPr="00000000" w14:paraId="00000004">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5">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This assignment captures some elements of our current events work but in more detail and depth.</w:t>
      </w:r>
    </w:p>
    <w:p w:rsidR="00000000" w:rsidDel="00000000" w:rsidP="00000000" w:rsidRDefault="00000000" w:rsidRPr="00000000" w14:paraId="00000006">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7">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This should be written in well organized paragraphs. </w:t>
      </w:r>
    </w:p>
    <w:p w:rsidR="00000000" w:rsidDel="00000000" w:rsidP="00000000" w:rsidRDefault="00000000" w:rsidRPr="00000000" w14:paraId="00000008">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9">
      <w:pPr>
        <w:spacing w:line="276" w:lineRule="auto"/>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What must a SL assignment do?</w:t>
      </w:r>
    </w:p>
    <w:p w:rsidR="00000000" w:rsidDel="00000000" w:rsidP="00000000" w:rsidRDefault="00000000" w:rsidRPr="00000000" w14:paraId="0000000A">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B">
      <w:pPr>
        <w:numPr>
          <w:ilvl w:val="0"/>
          <w:numId w:val="1"/>
        </w:numPr>
        <w:spacing w:line="276"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It must be strongly linked to one of the course concepts. If the chosen case study links to sovereignty, the discussion and implications of sovereignty must be </w:t>
      </w:r>
      <w:r w:rsidDel="00000000" w:rsidR="00000000" w:rsidRPr="00000000">
        <w:rPr>
          <w:rFonts w:ascii="Cambria" w:cs="Cambria" w:eastAsia="Cambria" w:hAnsi="Cambria"/>
          <w:b w:val="1"/>
          <w:sz w:val="28"/>
          <w:szCs w:val="28"/>
          <w:rtl w:val="0"/>
        </w:rPr>
        <w:t xml:space="preserve">sustained</w:t>
      </w:r>
      <w:r w:rsidDel="00000000" w:rsidR="00000000" w:rsidRPr="00000000">
        <w:rPr>
          <w:rFonts w:ascii="Cambria" w:cs="Cambria" w:eastAsia="Cambria" w:hAnsi="Cambria"/>
          <w:sz w:val="28"/>
          <w:szCs w:val="28"/>
          <w:rtl w:val="0"/>
        </w:rPr>
        <w:t xml:space="preserve"> throughout the writing.</w:t>
      </w:r>
    </w:p>
    <w:p w:rsidR="00000000" w:rsidDel="00000000" w:rsidP="00000000" w:rsidRDefault="00000000" w:rsidRPr="00000000" w14:paraId="0000000C">
      <w:pPr>
        <w:numPr>
          <w:ilvl w:val="0"/>
          <w:numId w:val="1"/>
        </w:numPr>
        <w:spacing w:line="276"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research phase is crucial. Students should consult a wide variety of sources, properly cited, and ensure their analysis goes beyond their own instincts of viewpoints. </w:t>
      </w:r>
      <w:r w:rsidDel="00000000" w:rsidR="00000000" w:rsidRPr="00000000">
        <w:rPr>
          <w:rFonts w:ascii="Cambria" w:cs="Cambria" w:eastAsia="Cambria" w:hAnsi="Cambria"/>
          <w:b w:val="1"/>
          <w:sz w:val="28"/>
          <w:szCs w:val="28"/>
          <w:rtl w:val="0"/>
        </w:rPr>
        <w:t xml:space="preserve">Consult and refer to at least five different sources. Include a bibliography and internal citations.</w:t>
      </w:r>
    </w:p>
    <w:p w:rsidR="00000000" w:rsidDel="00000000" w:rsidP="00000000" w:rsidRDefault="00000000" w:rsidRPr="00000000" w14:paraId="0000000D">
      <w:pPr>
        <w:numPr>
          <w:ilvl w:val="0"/>
          <w:numId w:val="1"/>
        </w:numPr>
        <w:spacing w:line="276"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case study must be specific enough to be analyzed effectively within the word count. In particular, it should not be so broad (for example, “nuclear disarmament”) that deep analysis in the given time would be impossible.</w:t>
      </w:r>
    </w:p>
    <w:p w:rsidR="00000000" w:rsidDel="00000000" w:rsidP="00000000" w:rsidRDefault="00000000" w:rsidRPr="00000000" w14:paraId="0000000E">
      <w:pPr>
        <w:numPr>
          <w:ilvl w:val="0"/>
          <w:numId w:val="1"/>
        </w:numPr>
        <w:spacing w:line="276"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It is best for the chosen case study to be contemporary but not so current or ongoing that it is impossible to draw longer-term conclusions. As a general guide, case studies that deal with issues that date back at least a year previously work best.</w:t>
      </w:r>
    </w:p>
    <w:p w:rsidR="00000000" w:rsidDel="00000000" w:rsidP="00000000" w:rsidRDefault="00000000" w:rsidRPr="00000000" w14:paraId="0000000F">
      <w:pPr>
        <w:numPr>
          <w:ilvl w:val="0"/>
          <w:numId w:val="1"/>
        </w:numPr>
        <w:spacing w:line="276"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Under the chosen concepts, a case study must be analyzed and not merely described. Long explanations of timelines, history, and descriptions of current events should be avoided. The grading criteria reward careful analysis of why events happened in the way they did, the wider political, social, or economic impact of these events, and the challenges they reveal in relation to the theme chosen.</w:t>
      </w:r>
    </w:p>
    <w:p w:rsidR="00000000" w:rsidDel="00000000" w:rsidP="00000000" w:rsidRDefault="00000000" w:rsidRPr="00000000" w14:paraId="00000010">
      <w:pPr>
        <w:numPr>
          <w:ilvl w:val="0"/>
          <w:numId w:val="1"/>
        </w:numPr>
        <w:spacing w:line="276"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To keep the work analytical, pose an overarching question at the beginning of the writing, which is analyzed and then answered in the conclusion.</w:t>
      </w:r>
    </w:p>
    <w:p w:rsidR="00000000" w:rsidDel="00000000" w:rsidP="00000000" w:rsidRDefault="00000000" w:rsidRPr="00000000" w14:paraId="00000011">
      <w:pPr>
        <w:numPr>
          <w:ilvl w:val="0"/>
          <w:numId w:val="1"/>
        </w:numPr>
        <w:spacing w:line="276"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You should evaluate the strengths and weaknesses of various arguments.</w:t>
      </w:r>
    </w:p>
    <w:p w:rsidR="00000000" w:rsidDel="00000000" w:rsidP="00000000" w:rsidRDefault="00000000" w:rsidRPr="00000000" w14:paraId="00000012">
      <w:pPr>
        <w:numPr>
          <w:ilvl w:val="0"/>
          <w:numId w:val="1"/>
        </w:numPr>
        <w:spacing w:line="276"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Links should be made to the case study and the wider global political context. Where else, for example, are there similar challenges?</w:t>
      </w:r>
    </w:p>
    <w:p w:rsidR="00000000" w:rsidDel="00000000" w:rsidP="00000000" w:rsidRDefault="00000000" w:rsidRPr="00000000" w14:paraId="00000013">
      <w:pPr>
        <w:numPr>
          <w:ilvl w:val="0"/>
          <w:numId w:val="1"/>
        </w:numPr>
        <w:spacing w:line="276"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work should always be balanced and look at an issue from different viewpoints. For example, the views of government and non-government groups or different ethnic or gender groups.</w:t>
      </w:r>
    </w:p>
    <w:p w:rsidR="00000000" w:rsidDel="00000000" w:rsidP="00000000" w:rsidRDefault="00000000" w:rsidRPr="00000000" w14:paraId="00000014">
      <w:pPr>
        <w:numPr>
          <w:ilvl w:val="0"/>
          <w:numId w:val="1"/>
        </w:numPr>
        <w:spacing w:line="276"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There should be a strong conclusion that is a logical extension of the discussion in the rest of your writing.</w:t>
      </w:r>
    </w:p>
    <w:p w:rsidR="00000000" w:rsidDel="00000000" w:rsidP="00000000" w:rsidRDefault="00000000" w:rsidRPr="00000000" w14:paraId="00000015">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6">
      <w:pPr>
        <w:spacing w:line="276" w:lineRule="auto"/>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Calendar</w:t>
      </w:r>
    </w:p>
    <w:p w:rsidR="00000000" w:rsidDel="00000000" w:rsidP="00000000" w:rsidRDefault="00000000" w:rsidRPr="00000000" w14:paraId="00000017">
      <w:pPr>
        <w:spacing w:line="276" w:lineRule="auto"/>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18">
      <w:pPr>
        <w:spacing w:line="276" w:lineRule="auto"/>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May 18</w:t>
      </w:r>
      <w:r w:rsidDel="00000000" w:rsidR="00000000" w:rsidRPr="00000000">
        <w:rPr>
          <w:rFonts w:ascii="Cambria" w:cs="Cambria" w:eastAsia="Cambria" w:hAnsi="Cambria"/>
          <w:b w:val="1"/>
          <w:sz w:val="28"/>
          <w:szCs w:val="28"/>
          <w:vertAlign w:val="superscript"/>
          <w:rtl w:val="0"/>
        </w:rPr>
        <w:t xml:space="preserve">th</w:t>
      </w:r>
      <w:r w:rsidDel="00000000" w:rsidR="00000000" w:rsidRPr="00000000">
        <w:rPr>
          <w:rFonts w:ascii="Cambria" w:cs="Cambria" w:eastAsia="Cambria" w:hAnsi="Cambria"/>
          <w:b w:val="1"/>
          <w:sz w:val="28"/>
          <w:szCs w:val="28"/>
          <w:rtl w:val="0"/>
        </w:rPr>
        <w:t xml:space="preserve">:</w:t>
      </w:r>
      <w:r w:rsidDel="00000000" w:rsidR="00000000" w:rsidRPr="00000000">
        <w:rPr>
          <w:rFonts w:ascii="Cambria" w:cs="Cambria" w:eastAsia="Cambria" w:hAnsi="Cambria"/>
          <w:sz w:val="28"/>
          <w:szCs w:val="28"/>
          <w:rtl w:val="0"/>
        </w:rPr>
        <w:t xml:space="preserve"> Read through SL assessment. Identify questions. Start some initial research on a potential topic.</w:t>
      </w:r>
    </w:p>
    <w:p w:rsidR="00000000" w:rsidDel="00000000" w:rsidP="00000000" w:rsidRDefault="00000000" w:rsidRPr="00000000" w14:paraId="00000019">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A">
      <w:pPr>
        <w:spacing w:line="276" w:lineRule="auto"/>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May 19th: </w:t>
      </w:r>
      <w:r w:rsidDel="00000000" w:rsidR="00000000" w:rsidRPr="00000000">
        <w:rPr>
          <w:rFonts w:ascii="Cambria" w:cs="Cambria" w:eastAsia="Cambria" w:hAnsi="Cambria"/>
          <w:sz w:val="28"/>
          <w:szCs w:val="28"/>
          <w:rtl w:val="0"/>
        </w:rPr>
        <w:t xml:space="preserve">SL Students don’t have to attend seminar</w:t>
      </w:r>
    </w:p>
    <w:p w:rsidR="00000000" w:rsidDel="00000000" w:rsidP="00000000" w:rsidRDefault="00000000" w:rsidRPr="00000000" w14:paraId="0000001B">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C">
      <w:pPr>
        <w:spacing w:line="276" w:lineRule="auto"/>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May 21st: </w:t>
      </w:r>
      <w:r w:rsidDel="00000000" w:rsidR="00000000" w:rsidRPr="00000000">
        <w:rPr>
          <w:rFonts w:ascii="Cambria" w:cs="Cambria" w:eastAsia="Cambria" w:hAnsi="Cambria"/>
          <w:sz w:val="28"/>
          <w:szCs w:val="28"/>
          <w:rtl w:val="0"/>
        </w:rPr>
        <w:t xml:space="preserve">Students should submit a topic proposal.</w:t>
      </w:r>
    </w:p>
    <w:p w:rsidR="00000000" w:rsidDel="00000000" w:rsidP="00000000" w:rsidRDefault="00000000" w:rsidRPr="00000000" w14:paraId="0000001D">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E">
      <w:pPr>
        <w:spacing w:line="276" w:lineRule="auto"/>
        <w:rPr>
          <w:rFonts w:ascii="Cambria" w:cs="Cambria" w:eastAsia="Cambria" w:hAnsi="Cambria"/>
          <w:b w:val="1"/>
          <w:sz w:val="28"/>
          <w:szCs w:val="28"/>
          <w:u w:val="single"/>
        </w:rPr>
      </w:pPr>
      <w:r w:rsidDel="00000000" w:rsidR="00000000" w:rsidRPr="00000000">
        <w:rPr>
          <w:rFonts w:ascii="Cambria" w:cs="Cambria" w:eastAsia="Cambria" w:hAnsi="Cambria"/>
          <w:b w:val="1"/>
          <w:sz w:val="28"/>
          <w:szCs w:val="28"/>
          <w:u w:val="single"/>
          <w:rtl w:val="0"/>
        </w:rPr>
        <w:t xml:space="preserve">Due Dates and Timeline for HL Students</w:t>
      </w:r>
    </w:p>
    <w:p w:rsidR="00000000" w:rsidDel="00000000" w:rsidP="00000000" w:rsidRDefault="00000000" w:rsidRPr="00000000" w14:paraId="0000001F">
      <w:pPr>
        <w:spacing w:line="276" w:lineRule="auto"/>
        <w:rPr>
          <w:rFonts w:ascii="Cambria" w:cs="Cambria" w:eastAsia="Cambria" w:hAnsi="Cambria"/>
          <w:sz w:val="28"/>
          <w:szCs w:val="28"/>
        </w:rPr>
      </w:pPr>
      <w:r w:rsidDel="00000000" w:rsidR="00000000" w:rsidRPr="00000000">
        <w:rPr>
          <w:rtl w:val="0"/>
        </w:rPr>
      </w:r>
    </w:p>
    <w:tbl>
      <w:tblPr>
        <w:tblStyle w:val="Table1"/>
        <w:tblW w:w="9170.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216"/>
        <w:gridCol w:w="1954"/>
        <w:tblGridChange w:id="0">
          <w:tblGrid>
            <w:gridCol w:w="7216"/>
            <w:gridCol w:w="1954"/>
          </w:tblGrid>
        </w:tblGridChange>
      </w:tblGrid>
      <w:tr>
        <w:trPr>
          <w:cantSplit w:val="0"/>
          <w:trHeight w:val="289" w:hRule="atLeast"/>
          <w:tblHeader w:val="0"/>
        </w:trPr>
        <w:tc>
          <w:tcPr/>
          <w:p w:rsidR="00000000" w:rsidDel="00000000" w:rsidP="00000000" w:rsidRDefault="00000000" w:rsidRPr="00000000" w14:paraId="00000020">
            <w:pPr>
              <w:spacing w:line="276" w:lineRule="auto"/>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Task</w:t>
            </w:r>
          </w:p>
        </w:tc>
        <w:tc>
          <w:tcPr/>
          <w:p w:rsidR="00000000" w:rsidDel="00000000" w:rsidP="00000000" w:rsidRDefault="00000000" w:rsidRPr="00000000" w14:paraId="00000021">
            <w:pPr>
              <w:spacing w:line="276" w:lineRule="auto"/>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Date Due</w:t>
            </w:r>
          </w:p>
        </w:tc>
      </w:tr>
      <w:tr>
        <w:trPr>
          <w:cantSplit w:val="0"/>
          <w:trHeight w:val="303" w:hRule="atLeast"/>
          <w:tblHeader w:val="0"/>
        </w:trPr>
        <w:tc>
          <w:tcPr/>
          <w:p w:rsidR="00000000" w:rsidDel="00000000" w:rsidP="00000000" w:rsidRDefault="00000000" w:rsidRPr="00000000" w14:paraId="00000022">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Initial proposal for your chosen case study</w:t>
            </w:r>
          </w:p>
        </w:tc>
        <w:tc>
          <w:tcPr/>
          <w:p w:rsidR="00000000" w:rsidDel="00000000" w:rsidP="00000000" w:rsidRDefault="00000000" w:rsidRPr="00000000" w14:paraId="00000023">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Fri, May 21</w:t>
            </w:r>
          </w:p>
        </w:tc>
      </w:tr>
      <w:tr>
        <w:trPr>
          <w:cantSplit w:val="0"/>
          <w:trHeight w:val="289" w:hRule="atLeast"/>
          <w:tblHeader w:val="0"/>
        </w:trPr>
        <w:tc>
          <w:tcPr/>
          <w:p w:rsidR="00000000" w:rsidDel="00000000" w:rsidP="00000000" w:rsidRDefault="00000000" w:rsidRPr="00000000" w14:paraId="00000024">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Essay outline form posted on classroom. You will get feedback on this but this is crunch time. The sooner you submit, the sooner I will get it back to you</w:t>
            </w:r>
          </w:p>
        </w:tc>
        <w:tc>
          <w:tcPr/>
          <w:p w:rsidR="00000000" w:rsidDel="00000000" w:rsidP="00000000" w:rsidRDefault="00000000" w:rsidRPr="00000000" w14:paraId="00000025">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Fri, June 4th</w:t>
            </w:r>
          </w:p>
        </w:tc>
      </w:tr>
      <w:tr>
        <w:trPr>
          <w:cantSplit w:val="0"/>
          <w:trHeight w:val="289" w:hRule="atLeast"/>
          <w:tblHeader w:val="0"/>
        </w:trPr>
        <w:tc>
          <w:tcPr/>
          <w:p w:rsidR="00000000" w:rsidDel="00000000" w:rsidP="00000000" w:rsidRDefault="00000000" w:rsidRPr="00000000" w14:paraId="00000026">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Final essays due on turnitin.com</w:t>
            </w:r>
          </w:p>
        </w:tc>
        <w:tc>
          <w:tcPr/>
          <w:p w:rsidR="00000000" w:rsidDel="00000000" w:rsidP="00000000" w:rsidRDefault="00000000" w:rsidRPr="00000000" w14:paraId="00000027">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Monday June 14th </w:t>
            </w:r>
          </w:p>
        </w:tc>
      </w:tr>
    </w:tbl>
    <w:p w:rsidR="00000000" w:rsidDel="00000000" w:rsidP="00000000" w:rsidRDefault="00000000" w:rsidRPr="00000000" w14:paraId="00000028">
      <w:pPr>
        <w:spacing w:line="276" w:lineRule="auto"/>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29">
      <w:pPr>
        <w:spacing w:line="276" w:lineRule="auto"/>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2A">
      <w:pPr>
        <w:spacing w:line="276" w:lineRule="auto"/>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Useful Sources and Getting Started</w:t>
      </w:r>
    </w:p>
    <w:p w:rsidR="00000000" w:rsidDel="00000000" w:rsidP="00000000" w:rsidRDefault="00000000" w:rsidRPr="00000000" w14:paraId="0000002B">
      <w:pPr>
        <w:spacing w:line="276" w:lineRule="auto"/>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2C">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You may already have a topic or area of interest you may want to dive into in which case you should pursue those. You cannot choose the same case study as something we have specifically looked at in Global Politics, something you are doing for Extended Essay, or work from another IB course. You can use that work as inspiration for choosing something new. You also cannot research the same topic and question as another student in Global Politics. No you can’t do anything about the Corona virus. Maybe next year. </w:t>
      </w:r>
    </w:p>
    <w:p w:rsidR="00000000" w:rsidDel="00000000" w:rsidP="00000000" w:rsidRDefault="00000000" w:rsidRPr="00000000" w14:paraId="0000002D">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E">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You can decide to start first with one of the six themes and then look for a specific case study or do it the other way around. </w:t>
      </w:r>
    </w:p>
    <w:p w:rsidR="00000000" w:rsidDel="00000000" w:rsidP="00000000" w:rsidRDefault="00000000" w:rsidRPr="00000000" w14:paraId="0000002F">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0">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Here are just a few great places to get started for inspiration:</w:t>
      </w:r>
    </w:p>
    <w:p w:rsidR="00000000" w:rsidDel="00000000" w:rsidP="00000000" w:rsidRDefault="00000000" w:rsidRPr="00000000" w14:paraId="00000031">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2">
      <w:pPr>
        <w:numPr>
          <w:ilvl w:val="0"/>
          <w:numId w:val="2"/>
        </w:numPr>
        <w:spacing w:line="276" w:lineRule="auto"/>
        <w:ind w:left="720" w:hanging="360"/>
        <w:rPr>
          <w:rFonts w:ascii="Cambria" w:cs="Cambria" w:eastAsia="Cambria" w:hAnsi="Cambria"/>
          <w:sz w:val="28"/>
          <w:szCs w:val="28"/>
        </w:rPr>
      </w:pPr>
      <w:hyperlink r:id="rId7">
        <w:r w:rsidDel="00000000" w:rsidR="00000000" w:rsidRPr="00000000">
          <w:rPr>
            <w:rFonts w:ascii="Cambria" w:cs="Cambria" w:eastAsia="Cambria" w:hAnsi="Cambria"/>
            <w:color w:val="0563c1"/>
            <w:sz w:val="28"/>
            <w:szCs w:val="28"/>
            <w:u w:val="single"/>
            <w:rtl w:val="0"/>
          </w:rPr>
          <w:t xml:space="preserve">Council on foreign relations explainers</w:t>
        </w:r>
      </w:hyperlink>
      <w:r w:rsidDel="00000000" w:rsidR="00000000" w:rsidRPr="00000000">
        <w:rPr>
          <w:rFonts w:ascii="Cambria" w:cs="Cambria" w:eastAsia="Cambria" w:hAnsi="Cambria"/>
          <w:sz w:val="28"/>
          <w:szCs w:val="28"/>
          <w:rtl w:val="0"/>
        </w:rPr>
        <w:t xml:space="preserve"> (super awesome)</w:t>
      </w:r>
    </w:p>
    <w:p w:rsidR="00000000" w:rsidDel="00000000" w:rsidP="00000000" w:rsidRDefault="00000000" w:rsidRPr="00000000" w14:paraId="00000033">
      <w:pPr>
        <w:numPr>
          <w:ilvl w:val="0"/>
          <w:numId w:val="2"/>
        </w:numPr>
        <w:spacing w:line="276" w:lineRule="auto"/>
        <w:ind w:left="720" w:hanging="360"/>
        <w:rPr>
          <w:rFonts w:ascii="Cambria" w:cs="Cambria" w:eastAsia="Cambria" w:hAnsi="Cambria"/>
          <w:sz w:val="28"/>
          <w:szCs w:val="28"/>
        </w:rPr>
      </w:pPr>
      <w:hyperlink r:id="rId8">
        <w:r w:rsidDel="00000000" w:rsidR="00000000" w:rsidRPr="00000000">
          <w:rPr>
            <w:rFonts w:ascii="Cambria" w:cs="Cambria" w:eastAsia="Cambria" w:hAnsi="Cambria"/>
            <w:color w:val="1155cc"/>
            <w:sz w:val="28"/>
            <w:szCs w:val="28"/>
            <w:u w:val="single"/>
            <w:rtl w:val="0"/>
          </w:rPr>
          <w:t xml:space="preserve">Council on foreign relations Global Conflict Tracker</w:t>
        </w:r>
      </w:hyperlink>
      <w:r w:rsidDel="00000000" w:rsidR="00000000" w:rsidRPr="00000000">
        <w:rPr>
          <w:rtl w:val="0"/>
        </w:rPr>
      </w:r>
    </w:p>
    <w:p w:rsidR="00000000" w:rsidDel="00000000" w:rsidP="00000000" w:rsidRDefault="00000000" w:rsidRPr="00000000" w14:paraId="00000034">
      <w:pPr>
        <w:numPr>
          <w:ilvl w:val="0"/>
          <w:numId w:val="2"/>
        </w:numPr>
        <w:spacing w:line="276" w:lineRule="auto"/>
        <w:ind w:left="720" w:hanging="360"/>
        <w:rPr>
          <w:rFonts w:ascii="Cambria" w:cs="Cambria" w:eastAsia="Cambria" w:hAnsi="Cambria"/>
          <w:sz w:val="28"/>
          <w:szCs w:val="28"/>
        </w:rPr>
      </w:pPr>
      <w:hyperlink r:id="rId9">
        <w:r w:rsidDel="00000000" w:rsidR="00000000" w:rsidRPr="00000000">
          <w:rPr>
            <w:rFonts w:ascii="Cambria" w:cs="Cambria" w:eastAsia="Cambria" w:hAnsi="Cambria"/>
            <w:color w:val="0563c1"/>
            <w:sz w:val="28"/>
            <w:szCs w:val="28"/>
            <w:u w:val="single"/>
            <w:rtl w:val="0"/>
          </w:rPr>
          <w:t xml:space="preserve">Vox Borders Video Series</w:t>
        </w:r>
      </w:hyperlink>
      <w:r w:rsidDel="00000000" w:rsidR="00000000" w:rsidRPr="00000000">
        <w:rPr>
          <w:rFonts w:ascii="Cambria" w:cs="Cambria" w:eastAsia="Cambria" w:hAnsi="Cambria"/>
          <w:sz w:val="28"/>
          <w:szCs w:val="28"/>
          <w:rtl w:val="0"/>
        </w:rPr>
        <w:t xml:space="preserve"> (link to main page which has links to the youtube videos)</w:t>
      </w:r>
    </w:p>
    <w:p w:rsidR="00000000" w:rsidDel="00000000" w:rsidP="00000000" w:rsidRDefault="00000000" w:rsidRPr="00000000" w14:paraId="00000035">
      <w:pPr>
        <w:numPr>
          <w:ilvl w:val="0"/>
          <w:numId w:val="2"/>
        </w:numPr>
        <w:spacing w:line="276" w:lineRule="auto"/>
        <w:ind w:left="720" w:hanging="360"/>
        <w:rPr>
          <w:rFonts w:ascii="Cambria" w:cs="Cambria" w:eastAsia="Cambria" w:hAnsi="Cambria"/>
          <w:sz w:val="28"/>
          <w:szCs w:val="28"/>
        </w:rPr>
      </w:pPr>
      <w:hyperlink r:id="rId10">
        <w:r w:rsidDel="00000000" w:rsidR="00000000" w:rsidRPr="00000000">
          <w:rPr>
            <w:rFonts w:ascii="Cambria" w:cs="Cambria" w:eastAsia="Cambria" w:hAnsi="Cambria"/>
            <w:color w:val="0563c1"/>
            <w:sz w:val="28"/>
            <w:szCs w:val="28"/>
            <w:u w:val="single"/>
            <w:rtl w:val="0"/>
          </w:rPr>
          <w:t xml:space="preserve">PBS Frontline Documentaries</w:t>
        </w:r>
      </w:hyperlink>
      <w:r w:rsidDel="00000000" w:rsidR="00000000" w:rsidRPr="00000000">
        <w:rPr>
          <w:rFonts w:ascii="Cambria" w:cs="Cambria" w:eastAsia="Cambria" w:hAnsi="Cambria"/>
          <w:sz w:val="28"/>
          <w:szCs w:val="28"/>
          <w:rtl w:val="0"/>
        </w:rPr>
        <w:t xml:space="preserve"> (link to the topics page) </w:t>
      </w:r>
    </w:p>
    <w:p w:rsidR="00000000" w:rsidDel="00000000" w:rsidP="00000000" w:rsidRDefault="00000000" w:rsidRPr="00000000" w14:paraId="00000036">
      <w:pPr>
        <w:numPr>
          <w:ilvl w:val="0"/>
          <w:numId w:val="2"/>
        </w:numPr>
        <w:spacing w:line="276" w:lineRule="auto"/>
        <w:ind w:left="720" w:hanging="360"/>
        <w:rPr>
          <w:rFonts w:ascii="Cambria" w:cs="Cambria" w:eastAsia="Cambria" w:hAnsi="Cambria"/>
          <w:sz w:val="28"/>
          <w:szCs w:val="28"/>
        </w:rPr>
      </w:pPr>
      <w:hyperlink r:id="rId11">
        <w:r w:rsidDel="00000000" w:rsidR="00000000" w:rsidRPr="00000000">
          <w:rPr>
            <w:rFonts w:ascii="Cambria" w:cs="Cambria" w:eastAsia="Cambria" w:hAnsi="Cambria"/>
            <w:color w:val="0563c1"/>
            <w:sz w:val="28"/>
            <w:szCs w:val="28"/>
            <w:u w:val="single"/>
            <w:rtl w:val="0"/>
          </w:rPr>
          <w:t xml:space="preserve">Human Rights Watch</w:t>
        </w:r>
      </w:hyperlink>
      <w:r w:rsidDel="00000000" w:rsidR="00000000" w:rsidRPr="00000000">
        <w:rPr>
          <w:rFonts w:ascii="Cambria" w:cs="Cambria" w:eastAsia="Cambria" w:hAnsi="Cambria"/>
          <w:sz w:val="28"/>
          <w:szCs w:val="28"/>
          <w:rtl w:val="0"/>
        </w:rPr>
        <w:t xml:space="preserve"> (look to their “topics” and “reports” tabs)</w:t>
      </w:r>
    </w:p>
    <w:p w:rsidR="00000000" w:rsidDel="00000000" w:rsidP="00000000" w:rsidRDefault="00000000" w:rsidRPr="00000000" w14:paraId="00000037">
      <w:pPr>
        <w:numPr>
          <w:ilvl w:val="0"/>
          <w:numId w:val="2"/>
        </w:numPr>
        <w:spacing w:line="276" w:lineRule="auto"/>
        <w:ind w:left="720" w:hanging="360"/>
        <w:rPr>
          <w:rFonts w:ascii="Cambria" w:cs="Cambria" w:eastAsia="Cambria" w:hAnsi="Cambria"/>
          <w:sz w:val="28"/>
          <w:szCs w:val="28"/>
        </w:rPr>
      </w:pPr>
      <w:hyperlink r:id="rId12">
        <w:r w:rsidDel="00000000" w:rsidR="00000000" w:rsidRPr="00000000">
          <w:rPr>
            <w:rFonts w:ascii="Cambria" w:cs="Cambria" w:eastAsia="Cambria" w:hAnsi="Cambria"/>
            <w:color w:val="0563c1"/>
            <w:sz w:val="28"/>
            <w:szCs w:val="28"/>
            <w:u w:val="single"/>
            <w:rtl w:val="0"/>
          </w:rPr>
          <w:t xml:space="preserve">Here is a document</w:t>
        </w:r>
      </w:hyperlink>
      <w:r w:rsidDel="00000000" w:rsidR="00000000" w:rsidRPr="00000000">
        <w:rPr>
          <w:rFonts w:ascii="Cambria" w:cs="Cambria" w:eastAsia="Cambria" w:hAnsi="Cambria"/>
          <w:sz w:val="28"/>
          <w:szCs w:val="28"/>
          <w:rtl w:val="0"/>
        </w:rPr>
        <w:t xml:space="preserve"> with a bunch of ideas that another Global Politics teacher put together.</w:t>
      </w:r>
    </w:p>
    <w:p w:rsidR="00000000" w:rsidDel="00000000" w:rsidP="00000000" w:rsidRDefault="00000000" w:rsidRPr="00000000" w14:paraId="00000038">
      <w:pPr>
        <w:numPr>
          <w:ilvl w:val="0"/>
          <w:numId w:val="2"/>
        </w:numPr>
        <w:spacing w:line="276" w:lineRule="auto"/>
        <w:ind w:left="720" w:hanging="360"/>
        <w:rPr>
          <w:rFonts w:ascii="Cambria" w:cs="Cambria" w:eastAsia="Cambria" w:hAnsi="Cambria"/>
          <w:sz w:val="28"/>
          <w:szCs w:val="28"/>
        </w:rPr>
      </w:pPr>
      <w:hyperlink r:id="rId13">
        <w:r w:rsidDel="00000000" w:rsidR="00000000" w:rsidRPr="00000000">
          <w:rPr>
            <w:rFonts w:ascii="Cambria" w:cs="Cambria" w:eastAsia="Cambria" w:hAnsi="Cambria"/>
            <w:color w:val="1155cc"/>
            <w:sz w:val="28"/>
            <w:szCs w:val="28"/>
            <w:u w:val="single"/>
            <w:rtl w:val="0"/>
          </w:rPr>
          <w:t xml:space="preserve">Foreign Affairs</w:t>
        </w:r>
      </w:hyperlink>
      <w:r w:rsidDel="00000000" w:rsidR="00000000" w:rsidRPr="00000000">
        <w:rPr>
          <w:rFonts w:ascii="Cambria" w:cs="Cambria" w:eastAsia="Cambria" w:hAnsi="Cambria"/>
          <w:sz w:val="28"/>
          <w:szCs w:val="28"/>
          <w:rtl w:val="0"/>
        </w:rPr>
        <w:t xml:space="preserve"> and </w:t>
      </w:r>
      <w:hyperlink r:id="rId14">
        <w:r w:rsidDel="00000000" w:rsidR="00000000" w:rsidRPr="00000000">
          <w:rPr>
            <w:rFonts w:ascii="Cambria" w:cs="Cambria" w:eastAsia="Cambria" w:hAnsi="Cambria"/>
            <w:color w:val="1155cc"/>
            <w:sz w:val="28"/>
            <w:szCs w:val="28"/>
            <w:u w:val="single"/>
            <w:rtl w:val="0"/>
          </w:rPr>
          <w:t xml:space="preserve">Foreign Policy</w:t>
        </w:r>
      </w:hyperlink>
      <w:r w:rsidDel="00000000" w:rsidR="00000000" w:rsidRPr="00000000">
        <w:rPr>
          <w:rFonts w:ascii="Cambria" w:cs="Cambria" w:eastAsia="Cambria" w:hAnsi="Cambria"/>
          <w:sz w:val="28"/>
          <w:szCs w:val="28"/>
          <w:rtl w:val="0"/>
        </w:rPr>
        <w:t xml:space="preserve"> magazine have great sources as well though you may run into a limit on the number of articles. Use the NYPL search databases to access.</w:t>
      </w:r>
    </w:p>
    <w:p w:rsidR="00000000" w:rsidDel="00000000" w:rsidP="00000000" w:rsidRDefault="00000000" w:rsidRPr="00000000" w14:paraId="00000039">
      <w:pPr>
        <w:numPr>
          <w:ilvl w:val="0"/>
          <w:numId w:val="2"/>
        </w:numPr>
        <w:spacing w:line="276"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Once you have some ideas, you should definitely use the </w:t>
      </w:r>
      <w:hyperlink r:id="rId15">
        <w:r w:rsidDel="00000000" w:rsidR="00000000" w:rsidRPr="00000000">
          <w:rPr>
            <w:rFonts w:ascii="Cambria" w:cs="Cambria" w:eastAsia="Cambria" w:hAnsi="Cambria"/>
            <w:color w:val="1155cc"/>
            <w:sz w:val="28"/>
            <w:szCs w:val="28"/>
            <w:u w:val="single"/>
            <w:rtl w:val="0"/>
          </w:rPr>
          <w:t xml:space="preserve">Congressional Research Service</w:t>
        </w:r>
      </w:hyperlink>
      <w:r w:rsidDel="00000000" w:rsidR="00000000" w:rsidRPr="00000000">
        <w:rPr>
          <w:rFonts w:ascii="Cambria" w:cs="Cambria" w:eastAsia="Cambria" w:hAnsi="Cambria"/>
          <w:sz w:val="28"/>
          <w:szCs w:val="28"/>
          <w:rtl w:val="0"/>
        </w:rPr>
        <w:t xml:space="preserve"> website to access brief reports made for members of Congress.</w:t>
      </w:r>
    </w:p>
    <w:p w:rsidR="00000000" w:rsidDel="00000000" w:rsidP="00000000" w:rsidRDefault="00000000" w:rsidRPr="00000000" w14:paraId="0000003A">
      <w:pPr>
        <w:numPr>
          <w:ilvl w:val="0"/>
          <w:numId w:val="2"/>
        </w:numPr>
        <w:spacing w:line="276" w:lineRule="auto"/>
        <w:ind w:left="720" w:hanging="360"/>
        <w:rPr>
          <w:rFonts w:ascii="Cambria" w:cs="Cambria" w:eastAsia="Cambria" w:hAnsi="Cambria"/>
          <w:sz w:val="28"/>
          <w:szCs w:val="28"/>
        </w:rPr>
      </w:pPr>
      <w:hyperlink r:id="rId16">
        <w:r w:rsidDel="00000000" w:rsidR="00000000" w:rsidRPr="00000000">
          <w:rPr>
            <w:rFonts w:ascii="Cambria" w:cs="Cambria" w:eastAsia="Cambria" w:hAnsi="Cambria"/>
            <w:color w:val="1155cc"/>
            <w:sz w:val="28"/>
            <w:szCs w:val="28"/>
            <w:u w:val="single"/>
            <w:rtl w:val="0"/>
          </w:rPr>
          <w:t xml:space="preserve">NYPL Research databases</w:t>
        </w:r>
      </w:hyperlink>
      <w:r w:rsidDel="00000000" w:rsidR="00000000" w:rsidRPr="00000000">
        <w:rPr>
          <w:rFonts w:ascii="Cambria" w:cs="Cambria" w:eastAsia="Cambria" w:hAnsi="Cambria"/>
          <w:sz w:val="28"/>
          <w:szCs w:val="28"/>
          <w:rtl w:val="0"/>
        </w:rPr>
        <w:t xml:space="preserve">. You’ve seen this before with your EE research.</w:t>
      </w:r>
    </w:p>
    <w:p w:rsidR="00000000" w:rsidDel="00000000" w:rsidP="00000000" w:rsidRDefault="00000000" w:rsidRPr="00000000" w14:paraId="0000003B">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C">
      <w:pPr>
        <w:spacing w:line="276" w:lineRule="auto"/>
        <w:rPr>
          <w:rFonts w:ascii="Cambria" w:cs="Cambria" w:eastAsia="Cambria" w:hAnsi="Cambria"/>
          <w:sz w:val="28"/>
          <w:szCs w:val="28"/>
        </w:rPr>
      </w:pPr>
      <w:hyperlink r:id="rId17">
        <w:r w:rsidDel="00000000" w:rsidR="00000000" w:rsidRPr="00000000">
          <w:rPr>
            <w:rFonts w:ascii="Cambria" w:cs="Cambria" w:eastAsia="Cambria" w:hAnsi="Cambria"/>
            <w:color w:val="0563c1"/>
            <w:sz w:val="28"/>
            <w:szCs w:val="28"/>
            <w:u w:val="single"/>
            <w:rtl w:val="0"/>
          </w:rPr>
          <w:t xml:space="preserve">Full list of other news sources.</w:t>
        </w:r>
      </w:hyperlink>
      <w:r w:rsidDel="00000000" w:rsidR="00000000" w:rsidRPr="00000000">
        <w:rPr>
          <w:rtl w:val="0"/>
        </w:rPr>
      </w:r>
    </w:p>
    <w:p w:rsidR="00000000" w:rsidDel="00000000" w:rsidP="00000000" w:rsidRDefault="00000000" w:rsidRPr="00000000" w14:paraId="0000003D">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E">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Use your judgment about what is an appropriate source. </w:t>
      </w:r>
    </w:p>
    <w:p w:rsidR="00000000" w:rsidDel="00000000" w:rsidP="00000000" w:rsidRDefault="00000000" w:rsidRPr="00000000" w14:paraId="0000003F">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0">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As you research, keep track of your sources. You will be required to submit a bibliography.</w:t>
      </w:r>
    </w:p>
    <w:p w:rsidR="00000000" w:rsidDel="00000000" w:rsidP="00000000" w:rsidRDefault="00000000" w:rsidRPr="00000000" w14:paraId="00000041">
      <w:pPr>
        <w:spacing w:line="276" w:lineRule="auto"/>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42">
      <w:pPr>
        <w:spacing w:line="276" w:lineRule="auto"/>
        <w:rPr>
          <w:sz w:val="28"/>
          <w:szCs w:val="28"/>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 w:name="Courier New"/>
  <w:font w:name="Noto Sans Symbol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s://www.hrw.org/" TargetMode="External"/><Relationship Id="rId10" Type="http://schemas.openxmlformats.org/officeDocument/2006/relationships/hyperlink" Target="https://www.pbs.org/wgbh/frontline/topics/" TargetMode="External"/><Relationship Id="rId13" Type="http://schemas.openxmlformats.org/officeDocument/2006/relationships/hyperlink" Target="https://www.foreignaffairs.com/" TargetMode="External"/><Relationship Id="rId12" Type="http://schemas.openxmlformats.org/officeDocument/2006/relationships/hyperlink" Target="https://drive.google.com/file/d/1ecPtUNjaLJlkO9mNApLk_jE94JaJ3_no/view?usp=sharing"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vox.com/a/borders" TargetMode="External"/><Relationship Id="rId15" Type="http://schemas.openxmlformats.org/officeDocument/2006/relationships/hyperlink" Target="https://crsreports.congress.gov/" TargetMode="External"/><Relationship Id="rId14" Type="http://schemas.openxmlformats.org/officeDocument/2006/relationships/hyperlink" Target="https://foreignpolicy.com/" TargetMode="External"/><Relationship Id="rId17" Type="http://schemas.openxmlformats.org/officeDocument/2006/relationships/hyperlink" Target="https://docs.google.com/document/d/1nTva4GQ2gExudgY9ApyxYxLDZLjlsMTM_YG35pdg07U/edit?usp=sharing" TargetMode="External"/><Relationship Id="rId16" Type="http://schemas.openxmlformats.org/officeDocument/2006/relationships/hyperlink" Target="https://docs.google.com/document/d/1gMMogrPeL23fT27JjTTk7frDrBFbU3xhMoXzBzBVaVA/edit?usp=sharing" TargetMode="External"/><Relationship Id="rId5" Type="http://schemas.openxmlformats.org/officeDocument/2006/relationships/styles" Target="styles.xml"/><Relationship Id="rId6" Type="http://schemas.openxmlformats.org/officeDocument/2006/relationships/hyperlink" Target="https://drive.google.com/file/d/1F1Iwja0yRBuOu7DwzNqQhjmg36qPTUaq/view?usp=sharing" TargetMode="External"/><Relationship Id="rId7" Type="http://schemas.openxmlformats.org/officeDocument/2006/relationships/hyperlink" Target="https://www.cfr.org/explainers" TargetMode="External"/><Relationship Id="rId8" Type="http://schemas.openxmlformats.org/officeDocument/2006/relationships/hyperlink" Target="https://www.cfr.org/interactive/global-conflict-tracker?category=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